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(Hons) Computer Science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C7DC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Higher Maths or equivalent required; highly competitive; Note relevant HNC/HND is a preferred route for SWAP students</w:t>
            </w:r>
          </w:p>
        </w:tc>
      </w:tr>
      <w:tr w:rsidR="008C7DCC" w:rsidRPr="008C7DCC" w:rsidTr="008C7DCC">
        <w:trPr>
          <w:trHeight w:val="9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BEng Computer and Electronic Systems</w:t>
            </w:r>
          </w:p>
        </w:tc>
        <w:tc>
          <w:tcPr>
            <w:tcW w:w="1420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lang w:eastAsia="en-GB"/>
              </w:rPr>
              <w:t>A profile and above 70% in assessed maths and physics units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(Hons) Software Engineering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C7DC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Higher Maths or equivalent required; highly competitive; Note relevant HNC/HND is a preferred route for SWAP students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BEng Computer and E</w:t>
            </w:r>
            <w:bookmarkStart w:id="0" w:name="_GoBack"/>
            <w:bookmarkEnd w:id="0"/>
            <w:r w:rsidRPr="00066BDB">
              <w:rPr>
                <w:rFonts w:ascii="Calibri" w:eastAsia="Times New Roman" w:hAnsi="Calibri" w:cs="Times New Roman"/>
                <w:lang w:eastAsia="en-GB"/>
              </w:rPr>
              <w:t>lectronic Systems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066BDB">
              <w:rPr>
                <w:rFonts w:ascii="Calibri" w:eastAsia="Times New Roman" w:hAnsi="Calibri" w:cs="Times New Roman"/>
                <w:lang w:eastAsia="en-GB"/>
              </w:rPr>
              <w:t>MMath</w:t>
            </w:r>
            <w:proofErr w:type="spellEnd"/>
            <w:r w:rsidRPr="00066BDB">
              <w:rPr>
                <w:rFonts w:ascii="Calibri" w:eastAsia="Times New Roman" w:hAnsi="Calibri" w:cs="Times New Roman"/>
                <w:lang w:eastAsia="en-GB"/>
              </w:rPr>
              <w:t xml:space="preserve"> Mathematics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 and Computer Science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 and﻿ Physics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 with Teaching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 and Statistics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Mathematics, Statistics and Accounting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Mathematics, Statistics and Economics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 xml:space="preserve">University of </w:t>
            </w:r>
            <w:r w:rsidRPr="00066BDB">
              <w:rPr>
                <w:rFonts w:ascii="Calibri" w:eastAsia="Times New Roman" w:hAnsi="Calibri" w:cs="Times New Roman"/>
                <w:lang w:eastAsia="en-GB"/>
              </w:rPr>
              <w:lastRenderedPageBreak/>
              <w:t>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lastRenderedPageBreak/>
              <w:t xml:space="preserve">BSc Mathematics, Statistics and </w:t>
            </w:r>
            <w:r w:rsidRPr="00066BDB">
              <w:rPr>
                <w:rFonts w:ascii="Calibri" w:eastAsia="Times New Roman" w:hAnsi="Calibri" w:cs="Times New Roman"/>
                <w:lang w:eastAsia="en-GB"/>
              </w:rPr>
              <w:lastRenderedPageBreak/>
              <w:t>Finance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Mathematics, Statistics and Management Science﻿﻿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  <w:p w:rsid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(Hons) Physics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lang w:eastAsia="en-GB"/>
              </w:rPr>
              <w:t>Access to Stem programmes with appropriate levels of Maths and higher physics.</w:t>
            </w:r>
          </w:p>
        </w:tc>
      </w:tr>
      <w:tr w:rsidR="008C7DCC" w:rsidRPr="008C7DCC" w:rsidTr="008C7DCC">
        <w:trPr>
          <w:trHeight w:val="6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(Hons) Physics with Teaching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7688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lang w:eastAsia="en-GB"/>
              </w:rPr>
              <w:t xml:space="preserve">Access to Stem programmes with appropriate levels of Maths and higher physics. Applicants must also have the appropriate English language classes for GTCS requirement e.g. </w:t>
            </w:r>
            <w:proofErr w:type="spellStart"/>
            <w:r w:rsidRPr="008C7DCC">
              <w:rPr>
                <w:rFonts w:ascii="Calibri" w:eastAsia="Times New Roman" w:hAnsi="Calibri" w:cs="Times New Roman"/>
                <w:lang w:eastAsia="en-GB"/>
              </w:rPr>
              <w:t>comms</w:t>
            </w:r>
            <w:proofErr w:type="spellEnd"/>
            <w:r w:rsidRPr="008C7DCC">
              <w:rPr>
                <w:rFonts w:ascii="Calibri" w:eastAsia="Times New Roman" w:hAnsi="Calibri" w:cs="Times New Roman"/>
                <w:lang w:eastAsia="en-GB"/>
              </w:rPr>
              <w:t xml:space="preserve"> 4 and Lit 1.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066BDB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66BDB">
              <w:rPr>
                <w:rFonts w:ascii="Calibri" w:eastAsia="Times New Roman" w:hAnsi="Calibri" w:cs="Times New Roman"/>
                <w:lang w:eastAsia="en-GB"/>
              </w:rPr>
              <w:t>BSc (Hons) Mathematics and Physics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lang w:eastAsia="en-GB"/>
              </w:rPr>
              <w:t>Access to Stem programmes with appropriate levels of Maths and higher physics.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16365C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8C7DCC" w:rsidRPr="008C7DCC" w:rsidTr="008C7DCC">
        <w:trPr>
          <w:trHeight w:val="285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Faculty of Engineering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Stem programmes with appropriate levels of Maths and additional subjects depending on specific degree. Please note that for Mechanical and Civil Engineering.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Engineering Academy is the pre</w:t>
            </w: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fe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red route for SWAP candidates. All candidates will be considered on merit and requests may be made for additional information form the College. Candidates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may require to attend summer s</w:t>
            </w: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chool.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Engineering Academy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interim profile required and interview. Engineering Academy is a preferred route for SWAP students for engineering degrees.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Aero-Mechanical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Architectural Studies BSc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Biomedical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Chemical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  <w:p w:rsidR="002A3483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A3483" w:rsidRPr="008C7DCC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Civil and Environmental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Apply through Engineering Acad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</w:t>
            </w: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Civil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Apply through Engineering Academy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6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and Mechanical Engineering BEng Hons</w:t>
            </w:r>
          </w:p>
        </w:tc>
        <w:tc>
          <w:tcPr>
            <w:tcW w:w="1420" w:type="dxa"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lang w:eastAsia="en-GB"/>
              </w:rPr>
              <w:t>A profile. Pass all maths un</w:t>
            </w:r>
            <w:r>
              <w:rPr>
                <w:rFonts w:ascii="Calibri" w:eastAsia="Times New Roman" w:hAnsi="Calibri" w:cs="Times New Roman"/>
                <w:lang w:eastAsia="en-GB"/>
              </w:rPr>
              <w:t>it</w:t>
            </w:r>
            <w:r w:rsidRPr="008C7DCC">
              <w:rPr>
                <w:rFonts w:ascii="Calibri" w:eastAsia="Times New Roman" w:hAnsi="Calibri" w:cs="Times New Roman"/>
                <w:lang w:eastAsia="en-GB"/>
              </w:rPr>
              <w:t>s with 70% and above</w:t>
            </w:r>
            <w:r w:rsidRPr="008C7DCC">
              <w:rPr>
                <w:rFonts w:ascii="Calibri" w:eastAsia="Times New Roman" w:hAnsi="Calibri" w:cs="Times New Roman"/>
                <w:color w:val="FF0000"/>
                <w:lang w:eastAsia="en-GB"/>
              </w:rPr>
              <w:t>.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 and Electrical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A profile. Pass all maths un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it</w:t>
            </w: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s with 70% and above.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Academy prefer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ed route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Engineering with International Study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Engineering Academy preferred route</w:t>
            </w:r>
          </w:p>
        </w:tc>
        <w:tc>
          <w:tcPr>
            <w:tcW w:w="7688" w:type="dxa"/>
            <w:noWrap/>
            <w:hideMark/>
          </w:tcPr>
          <w:p w:rsid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  <w:p w:rsidR="002A3483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A3483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A3483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A3483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A3483" w:rsidRPr="008C7DCC" w:rsidRDefault="002A3483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Naval Architecture and Marine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Naval Architecture with High Performance Marine Vehicles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Naval Architecture with Ocean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Product Design and Innovation BSc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Product Design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Production Engineering and Management BEng Hons</w:t>
            </w:r>
          </w:p>
        </w:tc>
        <w:tc>
          <w:tcPr>
            <w:tcW w:w="1420" w:type="dxa"/>
            <w:noWrap/>
            <w:hideMark/>
          </w:tcPr>
          <w:p w:rsid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Prosthetics and Orthotics BSc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will require a very strong personal statement</w:t>
            </w: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  <w:tr w:rsidR="008C7DCC" w:rsidRPr="008C7DCC" w:rsidTr="008C7DCC">
        <w:trPr>
          <w:trHeight w:val="300"/>
        </w:trPr>
        <w:tc>
          <w:tcPr>
            <w:tcW w:w="1466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Sports Engineering BEng Hons</w:t>
            </w:r>
          </w:p>
        </w:tc>
        <w:tc>
          <w:tcPr>
            <w:tcW w:w="1420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8C7DCC" w:rsidRPr="008C7DCC" w:rsidRDefault="008C7DCC" w:rsidP="008C7DC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DCC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</w:t>
            </w: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25" w:rsidRDefault="00704525" w:rsidP="00B60193">
      <w:pPr>
        <w:spacing w:after="0" w:line="240" w:lineRule="auto"/>
      </w:pPr>
      <w:r>
        <w:separator/>
      </w:r>
    </w:p>
  </w:endnote>
  <w:endnote w:type="continuationSeparator" w:id="0">
    <w:p w:rsidR="00704525" w:rsidRDefault="0070452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25" w:rsidRDefault="00704525" w:rsidP="00B60193">
      <w:pPr>
        <w:spacing w:after="0" w:line="240" w:lineRule="auto"/>
      </w:pPr>
      <w:r>
        <w:separator/>
      </w:r>
    </w:p>
  </w:footnote>
  <w:footnote w:type="continuationSeparator" w:id="0">
    <w:p w:rsidR="00704525" w:rsidRDefault="0070452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2015 – 2016 STEM</w:t>
    </w:r>
  </w:p>
  <w:p w:rsidR="00B60193" w:rsidRDefault="008C7DCC">
    <w:pPr>
      <w:pStyle w:val="Header"/>
    </w:pPr>
    <w:r>
      <w:t>Strathclyde</w:t>
    </w:r>
    <w:r w:rsidR="00B60193">
      <w:t xml:space="preserve"> University for STEM programmes at Ayrshire College, Glasgow Kelvin, New College Lanarkshire and West College Scotland</w:t>
    </w:r>
  </w:p>
  <w:p w:rsidR="002A3483" w:rsidRDefault="002A348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2A3483" w:rsidRPr="002A3483" w:rsidTr="00BE428B">
      <w:trPr>
        <w:trHeight w:val="300"/>
      </w:trPr>
      <w:tc>
        <w:tcPr>
          <w:tcW w:w="3040" w:type="dxa"/>
          <w:noWrap/>
          <w:hideMark/>
        </w:tcPr>
        <w:p w:rsidR="002A3483" w:rsidRPr="002A3483" w:rsidRDefault="002A3483" w:rsidP="002A3483">
          <w:pPr>
            <w:pStyle w:val="Header"/>
          </w:pPr>
          <w:r w:rsidRPr="002A3483">
            <w:t>HEI</w:t>
          </w:r>
        </w:p>
      </w:tc>
      <w:tc>
        <w:tcPr>
          <w:tcW w:w="7860" w:type="dxa"/>
          <w:noWrap/>
          <w:hideMark/>
        </w:tcPr>
        <w:p w:rsidR="002A3483" w:rsidRPr="002A3483" w:rsidRDefault="002A3483" w:rsidP="002A3483">
          <w:pPr>
            <w:pStyle w:val="Header"/>
          </w:pPr>
          <w:r w:rsidRPr="002A3483">
            <w:t>Degree name</w:t>
          </w:r>
        </w:p>
      </w:tc>
      <w:tc>
        <w:tcPr>
          <w:tcW w:w="2936" w:type="dxa"/>
          <w:noWrap/>
          <w:hideMark/>
        </w:tcPr>
        <w:p w:rsidR="002A3483" w:rsidRPr="002A3483" w:rsidRDefault="002A3483" w:rsidP="002A3483">
          <w:pPr>
            <w:pStyle w:val="Header"/>
          </w:pPr>
          <w:r w:rsidRPr="002A3483">
            <w:t xml:space="preserve">Profile grades </w:t>
          </w:r>
        </w:p>
      </w:tc>
      <w:tc>
        <w:tcPr>
          <w:tcW w:w="17096" w:type="dxa"/>
          <w:noWrap/>
          <w:hideMark/>
        </w:tcPr>
        <w:p w:rsidR="002A3483" w:rsidRPr="002A3483" w:rsidRDefault="00066BDB" w:rsidP="002A3483">
          <w:pPr>
            <w:pStyle w:val="Header"/>
          </w:pPr>
          <w:r>
            <w:t>Special R</w:t>
          </w:r>
          <w:r w:rsidR="002A3483" w:rsidRPr="002A3483">
            <w:t>equirements</w:t>
          </w:r>
        </w:p>
      </w:tc>
    </w:tr>
  </w:tbl>
  <w:p w:rsidR="002A3483" w:rsidRDefault="002A3483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66BDB"/>
    <w:rsid w:val="002A3483"/>
    <w:rsid w:val="005A4EA4"/>
    <w:rsid w:val="00617762"/>
    <w:rsid w:val="00704525"/>
    <w:rsid w:val="008C7DCC"/>
    <w:rsid w:val="008E11AB"/>
    <w:rsid w:val="00B60193"/>
    <w:rsid w:val="00B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2015-10-20T09:40:00Z</dcterms:created>
  <dcterms:modified xsi:type="dcterms:W3CDTF">2015-10-20T09:40:00Z</dcterms:modified>
</cp:coreProperties>
</file>