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455A5" w14:textId="3CB5ADB9" w:rsidR="00224492" w:rsidRPr="004E192F" w:rsidRDefault="00224492">
      <w:pPr>
        <w:rPr>
          <w:b/>
          <w:bCs/>
        </w:rPr>
      </w:pPr>
      <w:r w:rsidRPr="004E192F">
        <w:rPr>
          <w:b/>
          <w:bCs/>
        </w:rPr>
        <w:t xml:space="preserve">Preparation for Higher Education student development and </w:t>
      </w:r>
      <w:r w:rsidR="00C93391" w:rsidRPr="004E192F">
        <w:rPr>
          <w:b/>
          <w:bCs/>
        </w:rPr>
        <w:t xml:space="preserve">tutor </w:t>
      </w:r>
      <w:r w:rsidRPr="004E192F">
        <w:rPr>
          <w:b/>
          <w:bCs/>
        </w:rPr>
        <w:t>plan</w:t>
      </w:r>
    </w:p>
    <w:p w14:paraId="20E7EB7D" w14:textId="2EC94E46" w:rsidR="00282F08" w:rsidRDefault="00C93391">
      <w:r>
        <w:t xml:space="preserve">Please refer to the SWAP </w:t>
      </w:r>
      <w:r w:rsidR="00282F08">
        <w:t>website for tutor documents relating to prep for he.</w:t>
      </w:r>
    </w:p>
    <w:p w14:paraId="7BCCADF1" w14:textId="76C7CE30" w:rsidR="00282F08" w:rsidRDefault="00282F08">
      <w:hyperlink r:id="rId4" w:history="1">
        <w:r w:rsidRPr="00282F08">
          <w:rPr>
            <w:rStyle w:val="Hyperlink"/>
          </w:rPr>
          <w:t>https://www.scottishwideraccess.org/west-prep-for-he-phe-guidance-for-tutors</w:t>
        </w:r>
      </w:hyperlink>
    </w:p>
    <w:p w14:paraId="5E685137" w14:textId="77777777" w:rsidR="00617E17" w:rsidRDefault="00282F08">
      <w:r>
        <w:t>The “</w:t>
      </w:r>
      <w:r w:rsidR="00C93391">
        <w:t>Prep for HE development outline</w:t>
      </w:r>
      <w:r>
        <w:t xml:space="preserve">” </w:t>
      </w:r>
      <w:r w:rsidR="00C93391">
        <w:t xml:space="preserve">provides the foundation for the </w:t>
      </w:r>
      <w:r w:rsidR="00617E17">
        <w:t>new</w:t>
      </w:r>
      <w:r w:rsidR="00C93391">
        <w:t xml:space="preserve"> prep for he development. </w:t>
      </w:r>
    </w:p>
    <w:p w14:paraId="46B05692" w14:textId="4DF5119D" w:rsidR="00610890" w:rsidRDefault="00C93391">
      <w:r>
        <w:t xml:space="preserve">The student development </w:t>
      </w:r>
      <w:r w:rsidR="00617E17">
        <w:t xml:space="preserve">and tutor action enquiry plan </w:t>
      </w:r>
      <w:r>
        <w:t xml:space="preserve">builds on the </w:t>
      </w:r>
      <w:r w:rsidR="00610890">
        <w:t xml:space="preserve">development </w:t>
      </w:r>
      <w:r>
        <w:t>outline.</w:t>
      </w:r>
    </w:p>
    <w:p w14:paraId="2F23E17B" w14:textId="1C65D363" w:rsidR="00610890" w:rsidRDefault="00C93391">
      <w:r>
        <w:t>Prep for HE develops independent learning skills as well as the competencies identified in the “</w:t>
      </w:r>
      <w:r w:rsidRPr="00C93391">
        <w:t>european framework for personal, social and learning to learn competencies</w:t>
      </w:r>
      <w:r>
        <w:t>”. The european framework outlines the compete</w:t>
      </w:r>
      <w:r w:rsidR="00371D63">
        <w:t>n</w:t>
      </w:r>
      <w:r>
        <w:t>ces and then uses an awareness, understanding and action model</w:t>
      </w:r>
      <w:r w:rsidR="00371D63">
        <w:t xml:space="preserve"> to show how students are learning and developing. We have adapted this for each section of our prep for he development. Due to the more formal nature of the </w:t>
      </w:r>
      <w:r w:rsidR="00617E17">
        <w:t xml:space="preserve">adult learning in the </w:t>
      </w:r>
      <w:r w:rsidR="00371D63">
        <w:t xml:space="preserve">SWAP programme we have </w:t>
      </w:r>
      <w:r w:rsidR="00617E17">
        <w:t>combined</w:t>
      </w:r>
      <w:r w:rsidR="00371D63">
        <w:t xml:space="preserve"> the awareness and understanding sections</w:t>
      </w:r>
      <w:r w:rsidR="00610890">
        <w:t>.</w:t>
      </w:r>
    </w:p>
    <w:p w14:paraId="2FBAF0E8" w14:textId="13FAED14" w:rsidR="00617E17" w:rsidRDefault="00371D63">
      <w:r>
        <w:t xml:space="preserve">We have used the concept of action to show </w:t>
      </w:r>
      <w:r w:rsidR="00617E17">
        <w:t xml:space="preserve">students </w:t>
      </w:r>
      <w:r>
        <w:t xml:space="preserve">how </w:t>
      </w:r>
      <w:r w:rsidR="00617E17">
        <w:t>the</w:t>
      </w:r>
      <w:r>
        <w:t xml:space="preserve"> competencies can be evidenced and how they can see their own development. That work will mainly take place in the look back and look ahead sections of the prep for he.</w:t>
      </w:r>
    </w:p>
    <w:p w14:paraId="33B27BD8" w14:textId="77777777" w:rsidR="00617E17" w:rsidRDefault="00371D63">
      <w:r>
        <w:t xml:space="preserve">We have also included a tutor activity section to give </w:t>
      </w:r>
      <w:r w:rsidR="00617E17">
        <w:t xml:space="preserve">you </w:t>
      </w:r>
      <w:r>
        <w:t>so</w:t>
      </w:r>
      <w:r w:rsidR="00AA6282">
        <w:t>m</w:t>
      </w:r>
      <w:r>
        <w:t>e</w:t>
      </w:r>
      <w:r w:rsidR="00617E17">
        <w:t xml:space="preserve"> initial</w:t>
      </w:r>
      <w:r>
        <w:t xml:space="preserve"> thought</w:t>
      </w:r>
      <w:r w:rsidR="00617E17">
        <w:t>s</w:t>
      </w:r>
      <w:r>
        <w:t xml:space="preserve"> as to how you can develop the students. Either during</w:t>
      </w:r>
      <w:r w:rsidR="00AA6282">
        <w:t xml:space="preserve"> the college</w:t>
      </w:r>
      <w:r>
        <w:t xml:space="preserve"> prep for he </w:t>
      </w:r>
      <w:r w:rsidR="00617E17">
        <w:t>timetabled slot</w:t>
      </w:r>
      <w:r>
        <w:t xml:space="preserve"> or providing students with pointers on how they may develop the work. </w:t>
      </w:r>
    </w:p>
    <w:p w14:paraId="6535BDA3" w14:textId="618276AF" w:rsidR="00371D63" w:rsidRDefault="00371D63">
      <w:r>
        <w:t xml:space="preserve">If you can spend a bit of time reflecting on how useful the exercise has been or what techniques worked and didn’t work, we </w:t>
      </w:r>
      <w:r w:rsidR="008446B8">
        <w:t>will be</w:t>
      </w:r>
      <w:r>
        <w:t xml:space="preserve"> able to use this </w:t>
      </w:r>
      <w:r w:rsidR="00610890">
        <w:t>to</w:t>
      </w:r>
      <w:r>
        <w:t xml:space="preserve"> improve the materials.</w:t>
      </w:r>
      <w:r w:rsidR="00610890">
        <w:t xml:space="preserve"> </w:t>
      </w:r>
      <w:r>
        <w:t xml:space="preserve">We hope this will be a useful learning tool for yourselves and provide evidence to </w:t>
      </w:r>
      <w:r w:rsidR="00617E17">
        <w:t xml:space="preserve">our college and university partners </w:t>
      </w:r>
      <w:r>
        <w:t>on how beneficial prep for he is as a guidance tool for widening access students.</w:t>
      </w:r>
    </w:p>
    <w:p w14:paraId="205F73F7" w14:textId="77777777" w:rsidR="00371D63" w:rsidRDefault="00371D63">
      <w:r>
        <w:t>SWAP programmes welcome innovation and a sharing of good practice in our guidance work. We welcome your engagement with us on our new prep.</w:t>
      </w:r>
    </w:p>
    <w:p w14:paraId="0EBEB691" w14:textId="77777777" w:rsidR="00371D63" w:rsidRDefault="00371D63"/>
    <w:p w14:paraId="3B7C976E" w14:textId="77777777" w:rsidR="00371D63" w:rsidRDefault="00371D63"/>
    <w:p w14:paraId="266ED4CA" w14:textId="77777777" w:rsidR="00371D63" w:rsidRDefault="00371D63"/>
    <w:p w14:paraId="06CECDD7" w14:textId="77777777" w:rsidR="00371D63" w:rsidRDefault="00371D63"/>
    <w:p w14:paraId="1B6DD811" w14:textId="77777777" w:rsidR="00371D63" w:rsidRDefault="00371D63"/>
    <w:tbl>
      <w:tblPr>
        <w:tblStyle w:val="TableGrid"/>
        <w:tblW w:w="0" w:type="auto"/>
        <w:tblLook w:val="04A0" w:firstRow="1" w:lastRow="0" w:firstColumn="1" w:lastColumn="0" w:noHBand="0" w:noVBand="1"/>
      </w:tblPr>
      <w:tblGrid>
        <w:gridCol w:w="1547"/>
        <w:gridCol w:w="2417"/>
        <w:gridCol w:w="1637"/>
        <w:gridCol w:w="1624"/>
        <w:gridCol w:w="1559"/>
        <w:gridCol w:w="1417"/>
        <w:gridCol w:w="3747"/>
      </w:tblGrid>
      <w:tr w:rsidR="004E192F" w14:paraId="4D19D917" w14:textId="77777777" w:rsidTr="007704E0">
        <w:tc>
          <w:tcPr>
            <w:tcW w:w="1547" w:type="dxa"/>
          </w:tcPr>
          <w:p w14:paraId="08E80AA2" w14:textId="2F44E995" w:rsidR="00FF42D5" w:rsidRDefault="00FF42D5">
            <w:bookmarkStart w:id="0" w:name="_Hlk50217336"/>
            <w:r>
              <w:lastRenderedPageBreak/>
              <w:t>PHE exercise</w:t>
            </w:r>
          </w:p>
        </w:tc>
        <w:tc>
          <w:tcPr>
            <w:tcW w:w="2417" w:type="dxa"/>
            <w:shd w:val="clear" w:color="auto" w:fill="D9E2F3" w:themeFill="accent1" w:themeFillTint="33"/>
          </w:tcPr>
          <w:p w14:paraId="0BF452BF" w14:textId="77777777" w:rsidR="00FF42D5" w:rsidRPr="00FF42D5" w:rsidRDefault="00FF42D5">
            <w:pPr>
              <w:rPr>
                <w:b/>
                <w:bCs/>
                <w:sz w:val="28"/>
                <w:szCs w:val="28"/>
              </w:rPr>
            </w:pPr>
            <w:r w:rsidRPr="00FF42D5">
              <w:rPr>
                <w:b/>
                <w:bCs/>
                <w:sz w:val="28"/>
                <w:szCs w:val="28"/>
              </w:rPr>
              <w:t>Learning to Learn</w:t>
            </w:r>
          </w:p>
          <w:p w14:paraId="36EBC0A5" w14:textId="77777777" w:rsidR="00FF42D5" w:rsidRDefault="00FF42D5">
            <w:r>
              <w:t>Critical thinking</w:t>
            </w:r>
          </w:p>
          <w:p w14:paraId="2E426D2E" w14:textId="77777777" w:rsidR="00FF42D5" w:rsidRDefault="00FF42D5">
            <w:r>
              <w:t>Engaging with your own potential learning and progress</w:t>
            </w:r>
          </w:p>
          <w:p w14:paraId="48ECAD30" w14:textId="3D291123" w:rsidR="00FF42D5" w:rsidRDefault="00FF42D5">
            <w:r>
              <w:t>Self-management of learning</w:t>
            </w:r>
          </w:p>
        </w:tc>
        <w:tc>
          <w:tcPr>
            <w:tcW w:w="1637" w:type="dxa"/>
            <w:shd w:val="clear" w:color="auto" w:fill="A8D08D" w:themeFill="accent6" w:themeFillTint="99"/>
          </w:tcPr>
          <w:p w14:paraId="60E9ABBC" w14:textId="77777777" w:rsidR="00FF42D5" w:rsidRPr="00FF42D5" w:rsidRDefault="00FF42D5">
            <w:pPr>
              <w:rPr>
                <w:b/>
                <w:bCs/>
                <w:sz w:val="28"/>
                <w:szCs w:val="28"/>
              </w:rPr>
            </w:pPr>
            <w:r w:rsidRPr="00FF42D5">
              <w:rPr>
                <w:b/>
                <w:bCs/>
                <w:sz w:val="28"/>
                <w:szCs w:val="28"/>
              </w:rPr>
              <w:t>Social</w:t>
            </w:r>
          </w:p>
          <w:p w14:paraId="11C30647" w14:textId="77777777" w:rsidR="00FF42D5" w:rsidRDefault="00FF42D5">
            <w:r>
              <w:t>Communication</w:t>
            </w:r>
          </w:p>
          <w:p w14:paraId="5DC799B6" w14:textId="77777777" w:rsidR="00FF42D5" w:rsidRDefault="00FF42D5">
            <w:r>
              <w:t>Collaboration</w:t>
            </w:r>
          </w:p>
          <w:p w14:paraId="3ABCD717" w14:textId="52E8EA56" w:rsidR="00FF42D5" w:rsidRDefault="00FF42D5">
            <w:r>
              <w:t>Empathy</w:t>
            </w:r>
          </w:p>
        </w:tc>
        <w:tc>
          <w:tcPr>
            <w:tcW w:w="1624" w:type="dxa"/>
            <w:shd w:val="clear" w:color="auto" w:fill="E2EFD9" w:themeFill="accent6" w:themeFillTint="33"/>
          </w:tcPr>
          <w:p w14:paraId="08555546" w14:textId="77777777" w:rsidR="00FF42D5" w:rsidRPr="00FF42D5" w:rsidRDefault="00FF42D5">
            <w:pPr>
              <w:rPr>
                <w:b/>
                <w:bCs/>
                <w:sz w:val="28"/>
                <w:szCs w:val="28"/>
              </w:rPr>
            </w:pPr>
            <w:r w:rsidRPr="00FF42D5">
              <w:rPr>
                <w:b/>
                <w:bCs/>
                <w:sz w:val="28"/>
                <w:szCs w:val="28"/>
              </w:rPr>
              <w:t>Personal</w:t>
            </w:r>
          </w:p>
          <w:p w14:paraId="67BE2B30" w14:textId="77777777" w:rsidR="00FF42D5" w:rsidRDefault="00FF42D5">
            <w:r>
              <w:t>Self-regulation</w:t>
            </w:r>
          </w:p>
          <w:p w14:paraId="43672B2C" w14:textId="77777777" w:rsidR="00FF42D5" w:rsidRDefault="00FF42D5">
            <w:r>
              <w:t>Flexibility</w:t>
            </w:r>
          </w:p>
          <w:p w14:paraId="79946039" w14:textId="0F3FF71D" w:rsidR="00FF42D5" w:rsidRDefault="00FF42D5">
            <w:r>
              <w:t>Well-being</w:t>
            </w:r>
          </w:p>
        </w:tc>
        <w:tc>
          <w:tcPr>
            <w:tcW w:w="1559" w:type="dxa"/>
          </w:tcPr>
          <w:p w14:paraId="4C3C66DD" w14:textId="0D023097" w:rsidR="00FF42D5" w:rsidRPr="00FF42D5" w:rsidRDefault="00FF42D5">
            <w:pPr>
              <w:rPr>
                <w:b/>
                <w:bCs/>
              </w:rPr>
            </w:pPr>
            <w:r w:rsidRPr="00FF42D5">
              <w:rPr>
                <w:b/>
                <w:bCs/>
              </w:rPr>
              <w:t>Awareness &amp; unde</w:t>
            </w:r>
            <w:r>
              <w:rPr>
                <w:b/>
                <w:bCs/>
              </w:rPr>
              <w:t>r</w:t>
            </w:r>
            <w:r w:rsidRPr="00FF42D5">
              <w:rPr>
                <w:b/>
                <w:bCs/>
              </w:rPr>
              <w:t>standing</w:t>
            </w:r>
          </w:p>
        </w:tc>
        <w:tc>
          <w:tcPr>
            <w:tcW w:w="1417" w:type="dxa"/>
          </w:tcPr>
          <w:p w14:paraId="44430560" w14:textId="2DD6B483" w:rsidR="00FF42D5" w:rsidRPr="00FF42D5" w:rsidRDefault="00FF42D5">
            <w:pPr>
              <w:rPr>
                <w:b/>
                <w:bCs/>
              </w:rPr>
            </w:pPr>
            <w:r w:rsidRPr="00FF42D5">
              <w:rPr>
                <w:b/>
                <w:bCs/>
              </w:rPr>
              <w:t>Active</w:t>
            </w:r>
          </w:p>
        </w:tc>
        <w:tc>
          <w:tcPr>
            <w:tcW w:w="3747" w:type="dxa"/>
          </w:tcPr>
          <w:p w14:paraId="5A320C97" w14:textId="5426673D" w:rsidR="00FF42D5" w:rsidRPr="001F224F" w:rsidRDefault="00FF42D5">
            <w:pPr>
              <w:rPr>
                <w:b/>
                <w:bCs/>
                <w:sz w:val="28"/>
                <w:szCs w:val="28"/>
              </w:rPr>
            </w:pPr>
            <w:r w:rsidRPr="001F224F">
              <w:rPr>
                <w:b/>
                <w:bCs/>
                <w:sz w:val="28"/>
                <w:szCs w:val="28"/>
              </w:rPr>
              <w:t>Tutor activity / enquiry</w:t>
            </w:r>
          </w:p>
        </w:tc>
      </w:tr>
      <w:tr w:rsidR="00C70F0A" w14:paraId="2DE4EB25" w14:textId="77777777" w:rsidTr="007704E0">
        <w:tc>
          <w:tcPr>
            <w:tcW w:w="13948" w:type="dxa"/>
            <w:gridSpan w:val="7"/>
            <w:shd w:val="clear" w:color="auto" w:fill="E7E6E6" w:themeFill="background2"/>
          </w:tcPr>
          <w:p w14:paraId="4EBC6E6B" w14:textId="77777777" w:rsidR="00C70F0A" w:rsidRDefault="00C70F0A"/>
        </w:tc>
      </w:tr>
      <w:bookmarkEnd w:id="0"/>
      <w:tr w:rsidR="004E192F" w14:paraId="3E55F6E2" w14:textId="77777777" w:rsidTr="007704E0">
        <w:tc>
          <w:tcPr>
            <w:tcW w:w="1547" w:type="dxa"/>
          </w:tcPr>
          <w:p w14:paraId="73AA3832" w14:textId="597AADA0" w:rsidR="00FF42D5" w:rsidRDefault="00FF42D5">
            <w:r>
              <w:t>01 induction</w:t>
            </w:r>
          </w:p>
        </w:tc>
        <w:tc>
          <w:tcPr>
            <w:tcW w:w="2417" w:type="dxa"/>
            <w:shd w:val="clear" w:color="auto" w:fill="D9E2F3" w:themeFill="accent1" w:themeFillTint="33"/>
          </w:tcPr>
          <w:p w14:paraId="643AC522" w14:textId="1A00292B" w:rsidR="00FF42D5" w:rsidRDefault="00FF42D5">
            <w:r>
              <w:t>Develop competencies through the year</w:t>
            </w:r>
          </w:p>
        </w:tc>
        <w:tc>
          <w:tcPr>
            <w:tcW w:w="1637" w:type="dxa"/>
            <w:shd w:val="clear" w:color="auto" w:fill="A8D08D" w:themeFill="accent6" w:themeFillTint="99"/>
          </w:tcPr>
          <w:p w14:paraId="0BBC59F1" w14:textId="77777777" w:rsidR="00FF42D5" w:rsidRDefault="00FF42D5">
            <w:r>
              <w:t>Part of a partnership</w:t>
            </w:r>
          </w:p>
          <w:p w14:paraId="18D2F7FC" w14:textId="77777777" w:rsidR="001F224F" w:rsidRDefault="001F224F">
            <w:r>
              <w:t>Strong support and guidance</w:t>
            </w:r>
          </w:p>
          <w:p w14:paraId="3DA983A4" w14:textId="4EAD493E" w:rsidR="001F224F" w:rsidRDefault="001F224F">
            <w:r>
              <w:t>Part of a SWAP class, support one another</w:t>
            </w:r>
          </w:p>
        </w:tc>
        <w:tc>
          <w:tcPr>
            <w:tcW w:w="1624" w:type="dxa"/>
            <w:shd w:val="clear" w:color="auto" w:fill="E2EFD9" w:themeFill="accent6" w:themeFillTint="33"/>
          </w:tcPr>
          <w:p w14:paraId="2B2BFFB3" w14:textId="2C48DB91" w:rsidR="00FF42D5" w:rsidRDefault="00FF42D5">
            <w:r>
              <w:t xml:space="preserve">Responsibility for </w:t>
            </w:r>
            <w:r w:rsidR="001F224F">
              <w:t xml:space="preserve">own </w:t>
            </w:r>
            <w:r>
              <w:t>learning</w:t>
            </w:r>
          </w:p>
        </w:tc>
        <w:tc>
          <w:tcPr>
            <w:tcW w:w="1559" w:type="dxa"/>
          </w:tcPr>
          <w:p w14:paraId="7CC919AB" w14:textId="38209DEC" w:rsidR="00FF42D5" w:rsidRDefault="001F224F">
            <w:r>
              <w:t>SWAP programme model</w:t>
            </w:r>
          </w:p>
          <w:p w14:paraId="51FD36B1" w14:textId="14F39F6A" w:rsidR="001F224F" w:rsidRDefault="001F224F">
            <w:r>
              <w:t xml:space="preserve">How the model supports my progression </w:t>
            </w:r>
          </w:p>
        </w:tc>
        <w:tc>
          <w:tcPr>
            <w:tcW w:w="1417" w:type="dxa"/>
          </w:tcPr>
          <w:p w14:paraId="1EB7BBF1" w14:textId="716BCC88" w:rsidR="00FF42D5" w:rsidRDefault="001F224F">
            <w:r>
              <w:t>Read learner agreement</w:t>
            </w:r>
          </w:p>
          <w:p w14:paraId="03511492" w14:textId="77777777" w:rsidR="001F224F" w:rsidRDefault="001F224F">
            <w:r>
              <w:t>Questions at induction visit</w:t>
            </w:r>
          </w:p>
          <w:p w14:paraId="4C2F3117" w14:textId="77777777" w:rsidR="001F224F" w:rsidRDefault="001F224F">
            <w:r>
              <w:t>Register for SWAP</w:t>
            </w:r>
          </w:p>
          <w:p w14:paraId="7A27F4C5" w14:textId="3959FC42" w:rsidR="00C70F0A" w:rsidRDefault="00C70F0A"/>
        </w:tc>
        <w:tc>
          <w:tcPr>
            <w:tcW w:w="3747" w:type="dxa"/>
          </w:tcPr>
          <w:p w14:paraId="5DA8B95A" w14:textId="77777777" w:rsidR="00FF42D5" w:rsidRDefault="001F224F">
            <w:r>
              <w:t>Arrange induction visit</w:t>
            </w:r>
          </w:p>
          <w:p w14:paraId="2CBF2967" w14:textId="77777777" w:rsidR="001F224F" w:rsidRDefault="001F224F">
            <w:r>
              <w:t>Discuss SWAP model and learner agreement</w:t>
            </w:r>
          </w:p>
          <w:p w14:paraId="015BADFB" w14:textId="77777777" w:rsidR="001F224F" w:rsidRDefault="001F224F"/>
          <w:p w14:paraId="69E62CEA" w14:textId="11E82A27" w:rsidR="001F224F" w:rsidRDefault="001F224F">
            <w:r>
              <w:t>Does it support engagement. Provide re-assurance for students?</w:t>
            </w:r>
          </w:p>
        </w:tc>
      </w:tr>
      <w:tr w:rsidR="00C70F0A" w14:paraId="6785C8FD" w14:textId="77777777" w:rsidTr="007704E0">
        <w:tc>
          <w:tcPr>
            <w:tcW w:w="13948" w:type="dxa"/>
            <w:gridSpan w:val="7"/>
            <w:shd w:val="clear" w:color="auto" w:fill="E7E6E6" w:themeFill="background2"/>
          </w:tcPr>
          <w:p w14:paraId="11438D06" w14:textId="77777777" w:rsidR="00C70F0A" w:rsidRDefault="00C70F0A"/>
        </w:tc>
      </w:tr>
      <w:tr w:rsidR="004E192F" w14:paraId="75D369E9" w14:textId="77777777" w:rsidTr="007704E0">
        <w:tc>
          <w:tcPr>
            <w:tcW w:w="1547" w:type="dxa"/>
          </w:tcPr>
          <w:p w14:paraId="02ED08D5" w14:textId="4221BB87" w:rsidR="00FF42D5" w:rsidRDefault="001F224F">
            <w:r>
              <w:t>02 intro to prep</w:t>
            </w:r>
          </w:p>
        </w:tc>
        <w:tc>
          <w:tcPr>
            <w:tcW w:w="2417" w:type="dxa"/>
            <w:shd w:val="clear" w:color="auto" w:fill="D9E2F3" w:themeFill="accent1" w:themeFillTint="33"/>
          </w:tcPr>
          <w:p w14:paraId="4D72B645" w14:textId="77777777" w:rsidR="00FF42D5" w:rsidRDefault="001F224F">
            <w:r>
              <w:t>Awareness of my potential as a learner.</w:t>
            </w:r>
          </w:p>
          <w:p w14:paraId="5A7886DA" w14:textId="6D916FDA" w:rsidR="001F224F" w:rsidRDefault="001F224F">
            <w:r>
              <w:t>How prep and guidance combine with academic work</w:t>
            </w:r>
          </w:p>
        </w:tc>
        <w:tc>
          <w:tcPr>
            <w:tcW w:w="1637" w:type="dxa"/>
            <w:shd w:val="clear" w:color="auto" w:fill="A8D08D" w:themeFill="accent6" w:themeFillTint="99"/>
          </w:tcPr>
          <w:p w14:paraId="5CDA513B" w14:textId="0CCE2022" w:rsidR="00FF42D5" w:rsidRDefault="001F224F">
            <w:r>
              <w:t>Key role of class tutor</w:t>
            </w:r>
          </w:p>
        </w:tc>
        <w:tc>
          <w:tcPr>
            <w:tcW w:w="1624" w:type="dxa"/>
            <w:shd w:val="clear" w:color="auto" w:fill="E2EFD9" w:themeFill="accent6" w:themeFillTint="33"/>
          </w:tcPr>
          <w:p w14:paraId="3E6B34D4" w14:textId="4D82740F" w:rsidR="00FF42D5" w:rsidRDefault="001F224F">
            <w:r>
              <w:t>Make time for work. Benefits of reflection for development</w:t>
            </w:r>
          </w:p>
        </w:tc>
        <w:tc>
          <w:tcPr>
            <w:tcW w:w="1559" w:type="dxa"/>
          </w:tcPr>
          <w:p w14:paraId="0434EA54" w14:textId="77777777" w:rsidR="00AA6282" w:rsidRDefault="001F224F">
            <w:r>
              <w:t xml:space="preserve">Learning through multimedia. </w:t>
            </w:r>
          </w:p>
          <w:p w14:paraId="27E52830" w14:textId="77777777" w:rsidR="00AA6282" w:rsidRDefault="00AA6282"/>
          <w:p w14:paraId="31D66E2D" w14:textId="6FB77383" w:rsidR="00FF42D5" w:rsidRDefault="001F224F">
            <w:r>
              <w:t xml:space="preserve">Use of read, </w:t>
            </w:r>
            <w:r w:rsidR="008446B8">
              <w:t>write,</w:t>
            </w:r>
            <w:r>
              <w:t xml:space="preserve"> and listen</w:t>
            </w:r>
          </w:p>
        </w:tc>
        <w:tc>
          <w:tcPr>
            <w:tcW w:w="1417" w:type="dxa"/>
          </w:tcPr>
          <w:p w14:paraId="0A4D80EE" w14:textId="3F74E12B" w:rsidR="00FF42D5" w:rsidRDefault="008446B8">
            <w:r>
              <w:t>Reflect -</w:t>
            </w:r>
            <w:r w:rsidR="001F224F">
              <w:t xml:space="preserve"> look back and look ahead</w:t>
            </w:r>
          </w:p>
        </w:tc>
        <w:tc>
          <w:tcPr>
            <w:tcW w:w="3747" w:type="dxa"/>
          </w:tcPr>
          <w:p w14:paraId="193E1AB3" w14:textId="1D439394" w:rsidR="00FF42D5" w:rsidRDefault="001F224F">
            <w:r>
              <w:t>Ensure stude</w:t>
            </w:r>
            <w:r w:rsidR="007767DF">
              <w:t>n</w:t>
            </w:r>
            <w:r>
              <w:t xml:space="preserve">ts have started to write something about themselves. Discuss how it can be difficult to reflect on ourselves. </w:t>
            </w:r>
          </w:p>
          <w:p w14:paraId="44815BF3" w14:textId="77777777" w:rsidR="00AA6282" w:rsidRDefault="00AA6282"/>
          <w:p w14:paraId="74C3A851" w14:textId="77777777" w:rsidR="007767DF" w:rsidRDefault="007767DF">
            <w:r>
              <w:t>Provide examples of how students have seen themselves develop by using these tools.</w:t>
            </w:r>
          </w:p>
          <w:p w14:paraId="251D0850" w14:textId="77777777" w:rsidR="007767DF" w:rsidRDefault="007767DF"/>
          <w:p w14:paraId="119F4F0E" w14:textId="77777777" w:rsidR="007767DF" w:rsidRDefault="007767DF">
            <w:r>
              <w:t xml:space="preserve">Use prep time to ensure everyone writes something. </w:t>
            </w:r>
          </w:p>
          <w:p w14:paraId="08ED0990" w14:textId="77777777" w:rsidR="00C70F0A" w:rsidRDefault="00C70F0A"/>
          <w:p w14:paraId="45405AAF" w14:textId="77777777" w:rsidR="00C70F0A" w:rsidRDefault="00C70F0A"/>
          <w:p w14:paraId="4EF94F95" w14:textId="77777777" w:rsidR="00C70F0A" w:rsidRDefault="00C70F0A"/>
          <w:p w14:paraId="32013889" w14:textId="77777777" w:rsidR="00C70F0A" w:rsidRDefault="00C70F0A"/>
          <w:p w14:paraId="5A57D000" w14:textId="4D6EE2D7" w:rsidR="00C70F0A" w:rsidRDefault="00C70F0A"/>
        </w:tc>
      </w:tr>
      <w:tr w:rsidR="00C70F0A" w:rsidRPr="001F224F" w14:paraId="46984F7B" w14:textId="77777777" w:rsidTr="007704E0">
        <w:tc>
          <w:tcPr>
            <w:tcW w:w="1547" w:type="dxa"/>
          </w:tcPr>
          <w:p w14:paraId="39922D6C" w14:textId="77777777" w:rsidR="00C70F0A" w:rsidRDefault="00C70F0A" w:rsidP="00A20777">
            <w:bookmarkStart w:id="1" w:name="_Hlk50217923"/>
            <w:r>
              <w:t>PHE exercise</w:t>
            </w:r>
          </w:p>
        </w:tc>
        <w:tc>
          <w:tcPr>
            <w:tcW w:w="2417" w:type="dxa"/>
            <w:shd w:val="clear" w:color="auto" w:fill="D9E2F3" w:themeFill="accent1" w:themeFillTint="33"/>
          </w:tcPr>
          <w:p w14:paraId="37E56752" w14:textId="77777777" w:rsidR="00C70F0A" w:rsidRPr="00FF42D5" w:rsidRDefault="00C70F0A" w:rsidP="00A20777">
            <w:pPr>
              <w:rPr>
                <w:b/>
                <w:bCs/>
                <w:sz w:val="28"/>
                <w:szCs w:val="28"/>
              </w:rPr>
            </w:pPr>
            <w:r w:rsidRPr="00FF42D5">
              <w:rPr>
                <w:b/>
                <w:bCs/>
                <w:sz w:val="28"/>
                <w:szCs w:val="28"/>
              </w:rPr>
              <w:t>Learning to Learn</w:t>
            </w:r>
          </w:p>
          <w:p w14:paraId="76B97B85" w14:textId="77777777" w:rsidR="00C70F0A" w:rsidRDefault="00C70F0A" w:rsidP="00A20777">
            <w:r>
              <w:t>Critical thinking</w:t>
            </w:r>
          </w:p>
          <w:p w14:paraId="44C48923" w14:textId="77777777" w:rsidR="00C70F0A" w:rsidRDefault="00C70F0A" w:rsidP="00A20777">
            <w:r>
              <w:t>Engaging with your own potential learning and progress</w:t>
            </w:r>
          </w:p>
          <w:p w14:paraId="42CDEC3D" w14:textId="77777777" w:rsidR="00C70F0A" w:rsidRDefault="00C70F0A" w:rsidP="00A20777">
            <w:r>
              <w:t>Self-management of learning</w:t>
            </w:r>
          </w:p>
        </w:tc>
        <w:tc>
          <w:tcPr>
            <w:tcW w:w="1637" w:type="dxa"/>
            <w:shd w:val="clear" w:color="auto" w:fill="A8D08D" w:themeFill="accent6" w:themeFillTint="99"/>
          </w:tcPr>
          <w:p w14:paraId="70ECC8E8" w14:textId="77777777" w:rsidR="00C70F0A" w:rsidRPr="00FF42D5" w:rsidRDefault="00C70F0A" w:rsidP="00A20777">
            <w:pPr>
              <w:rPr>
                <w:b/>
                <w:bCs/>
                <w:sz w:val="28"/>
                <w:szCs w:val="28"/>
              </w:rPr>
            </w:pPr>
            <w:r w:rsidRPr="00FF42D5">
              <w:rPr>
                <w:b/>
                <w:bCs/>
                <w:sz w:val="28"/>
                <w:szCs w:val="28"/>
              </w:rPr>
              <w:t>Social</w:t>
            </w:r>
          </w:p>
          <w:p w14:paraId="46E469F0" w14:textId="77777777" w:rsidR="00C70F0A" w:rsidRDefault="00C70F0A" w:rsidP="00A20777">
            <w:r>
              <w:t>Communication</w:t>
            </w:r>
          </w:p>
          <w:p w14:paraId="43C0E731" w14:textId="77777777" w:rsidR="00C70F0A" w:rsidRDefault="00C70F0A" w:rsidP="00A20777">
            <w:r>
              <w:t>Collaboration</w:t>
            </w:r>
          </w:p>
          <w:p w14:paraId="5A7215D2" w14:textId="77777777" w:rsidR="00C70F0A" w:rsidRDefault="00C70F0A" w:rsidP="00A20777">
            <w:r>
              <w:t>Empathy</w:t>
            </w:r>
          </w:p>
        </w:tc>
        <w:tc>
          <w:tcPr>
            <w:tcW w:w="1624" w:type="dxa"/>
            <w:shd w:val="clear" w:color="auto" w:fill="E2EFD9" w:themeFill="accent6" w:themeFillTint="33"/>
          </w:tcPr>
          <w:p w14:paraId="65BBFD04" w14:textId="77777777" w:rsidR="00C70F0A" w:rsidRPr="00FF42D5" w:rsidRDefault="00C70F0A" w:rsidP="00A20777">
            <w:pPr>
              <w:rPr>
                <w:b/>
                <w:bCs/>
                <w:sz w:val="28"/>
                <w:szCs w:val="28"/>
              </w:rPr>
            </w:pPr>
            <w:r w:rsidRPr="00FF42D5">
              <w:rPr>
                <w:b/>
                <w:bCs/>
                <w:sz w:val="28"/>
                <w:szCs w:val="28"/>
              </w:rPr>
              <w:t>Personal</w:t>
            </w:r>
          </w:p>
          <w:p w14:paraId="77E67996" w14:textId="77777777" w:rsidR="00C70F0A" w:rsidRDefault="00C70F0A" w:rsidP="00A20777">
            <w:r>
              <w:t>Self-regulation</w:t>
            </w:r>
          </w:p>
          <w:p w14:paraId="5FD3685A" w14:textId="77777777" w:rsidR="00C70F0A" w:rsidRDefault="00C70F0A" w:rsidP="00A20777">
            <w:r>
              <w:t>Flexibility</w:t>
            </w:r>
          </w:p>
          <w:p w14:paraId="4C571E16" w14:textId="77777777" w:rsidR="00C70F0A" w:rsidRDefault="00C70F0A" w:rsidP="00A20777">
            <w:r>
              <w:t>Well-being</w:t>
            </w:r>
          </w:p>
        </w:tc>
        <w:tc>
          <w:tcPr>
            <w:tcW w:w="1559" w:type="dxa"/>
          </w:tcPr>
          <w:p w14:paraId="452A0038" w14:textId="77777777" w:rsidR="00C70F0A" w:rsidRPr="00FF42D5" w:rsidRDefault="00C70F0A" w:rsidP="00A20777">
            <w:pPr>
              <w:rPr>
                <w:b/>
                <w:bCs/>
              </w:rPr>
            </w:pPr>
            <w:r w:rsidRPr="00FF42D5">
              <w:rPr>
                <w:b/>
                <w:bCs/>
              </w:rPr>
              <w:t>Awareness &amp; unde</w:t>
            </w:r>
            <w:r>
              <w:rPr>
                <w:b/>
                <w:bCs/>
              </w:rPr>
              <w:t>r</w:t>
            </w:r>
            <w:r w:rsidRPr="00FF42D5">
              <w:rPr>
                <w:b/>
                <w:bCs/>
              </w:rPr>
              <w:t>standing</w:t>
            </w:r>
          </w:p>
        </w:tc>
        <w:tc>
          <w:tcPr>
            <w:tcW w:w="1417" w:type="dxa"/>
          </w:tcPr>
          <w:p w14:paraId="77573018" w14:textId="77777777" w:rsidR="00C70F0A" w:rsidRPr="00FF42D5" w:rsidRDefault="00C70F0A" w:rsidP="00A20777">
            <w:pPr>
              <w:rPr>
                <w:b/>
                <w:bCs/>
              </w:rPr>
            </w:pPr>
            <w:r w:rsidRPr="00FF42D5">
              <w:rPr>
                <w:b/>
                <w:bCs/>
              </w:rPr>
              <w:t>Active</w:t>
            </w:r>
          </w:p>
        </w:tc>
        <w:tc>
          <w:tcPr>
            <w:tcW w:w="3747" w:type="dxa"/>
          </w:tcPr>
          <w:p w14:paraId="66DCFB0F" w14:textId="77777777" w:rsidR="00C70F0A" w:rsidRPr="001F224F" w:rsidRDefault="00C70F0A" w:rsidP="00A20777">
            <w:pPr>
              <w:rPr>
                <w:b/>
                <w:bCs/>
                <w:sz w:val="28"/>
                <w:szCs w:val="28"/>
              </w:rPr>
            </w:pPr>
            <w:r w:rsidRPr="001F224F">
              <w:rPr>
                <w:b/>
                <w:bCs/>
                <w:sz w:val="28"/>
                <w:szCs w:val="28"/>
              </w:rPr>
              <w:t>Tutor activity / enquiry</w:t>
            </w:r>
          </w:p>
        </w:tc>
      </w:tr>
      <w:bookmarkEnd w:id="1"/>
      <w:tr w:rsidR="007767DF" w14:paraId="517E6297" w14:textId="77777777" w:rsidTr="007704E0">
        <w:tc>
          <w:tcPr>
            <w:tcW w:w="13948" w:type="dxa"/>
            <w:gridSpan w:val="7"/>
            <w:shd w:val="clear" w:color="auto" w:fill="E7E6E6" w:themeFill="background2"/>
          </w:tcPr>
          <w:p w14:paraId="2FE724E0" w14:textId="64455DA6" w:rsidR="007767DF" w:rsidRDefault="007767DF">
            <w:r>
              <w:t>03 Prepare to be successful</w:t>
            </w:r>
          </w:p>
        </w:tc>
      </w:tr>
      <w:tr w:rsidR="004E192F" w14:paraId="3AD58A27" w14:textId="77777777" w:rsidTr="007704E0">
        <w:tc>
          <w:tcPr>
            <w:tcW w:w="1547" w:type="dxa"/>
          </w:tcPr>
          <w:p w14:paraId="5222E674" w14:textId="77777777" w:rsidR="00FF42D5" w:rsidRDefault="007767DF">
            <w:r>
              <w:t>03A balance and well-being</w:t>
            </w:r>
          </w:p>
          <w:p w14:paraId="5040B008" w14:textId="77777777" w:rsidR="007767DF" w:rsidRDefault="007767DF"/>
          <w:p w14:paraId="7899240D" w14:textId="538B4A8D" w:rsidR="007767DF" w:rsidRDefault="007767DF">
            <w:r>
              <w:t>Time management &amp; effective study</w:t>
            </w:r>
          </w:p>
        </w:tc>
        <w:tc>
          <w:tcPr>
            <w:tcW w:w="2417" w:type="dxa"/>
            <w:shd w:val="clear" w:color="auto" w:fill="D9E2F3" w:themeFill="accent1" w:themeFillTint="33"/>
          </w:tcPr>
          <w:p w14:paraId="6669D604" w14:textId="77777777" w:rsidR="00FF42D5" w:rsidRDefault="007767DF">
            <w:r>
              <w:t>How developing wellbeing can improve learning</w:t>
            </w:r>
          </w:p>
          <w:p w14:paraId="29ACFC29" w14:textId="77777777" w:rsidR="007767DF" w:rsidRDefault="007767DF"/>
          <w:p w14:paraId="260907D3" w14:textId="775C615A" w:rsidR="007767DF" w:rsidRDefault="007767DF">
            <w:r>
              <w:t>Self – management of learning</w:t>
            </w:r>
          </w:p>
        </w:tc>
        <w:tc>
          <w:tcPr>
            <w:tcW w:w="1637" w:type="dxa"/>
            <w:shd w:val="clear" w:color="auto" w:fill="A8D08D" w:themeFill="accent6" w:themeFillTint="99"/>
          </w:tcPr>
          <w:p w14:paraId="6DB0E038" w14:textId="77777777" w:rsidR="00FF42D5" w:rsidRDefault="007767DF">
            <w:r>
              <w:t>Impact of stresses of learning on others.</w:t>
            </w:r>
          </w:p>
          <w:p w14:paraId="0FB6E6C6" w14:textId="77777777" w:rsidR="007767DF" w:rsidRDefault="007767DF"/>
          <w:p w14:paraId="437E024B" w14:textId="530C8AFA" w:rsidR="007767DF" w:rsidRDefault="007767DF">
            <w:r>
              <w:t>Effective use of time to develop positive impacts of learning</w:t>
            </w:r>
          </w:p>
        </w:tc>
        <w:tc>
          <w:tcPr>
            <w:tcW w:w="1624" w:type="dxa"/>
            <w:shd w:val="clear" w:color="auto" w:fill="E2EFD9" w:themeFill="accent6" w:themeFillTint="33"/>
          </w:tcPr>
          <w:p w14:paraId="26C1D678" w14:textId="77777777" w:rsidR="00FF42D5" w:rsidRDefault="007767DF">
            <w:r>
              <w:t>Well-being</w:t>
            </w:r>
          </w:p>
          <w:p w14:paraId="37BCCD6F" w14:textId="77777777" w:rsidR="007767DF" w:rsidRDefault="007767DF"/>
          <w:p w14:paraId="6E1AA5B0" w14:textId="77777777" w:rsidR="007767DF" w:rsidRDefault="007767DF"/>
          <w:p w14:paraId="071B0955" w14:textId="77777777" w:rsidR="007767DF" w:rsidRDefault="007767DF"/>
          <w:p w14:paraId="542ACC83" w14:textId="7C3E26A2" w:rsidR="007767DF" w:rsidRDefault="007767DF">
            <w:r>
              <w:t>Self-responsibility</w:t>
            </w:r>
          </w:p>
        </w:tc>
        <w:tc>
          <w:tcPr>
            <w:tcW w:w="1559" w:type="dxa"/>
          </w:tcPr>
          <w:p w14:paraId="7844D4CB" w14:textId="4B101DEF" w:rsidR="00AA6282" w:rsidRDefault="007767DF">
            <w:r>
              <w:t xml:space="preserve">Developing strategies for time management and </w:t>
            </w:r>
            <w:r w:rsidR="008446B8">
              <w:t>holistic</w:t>
            </w:r>
            <w:r>
              <w:t xml:space="preserve"> impact of learning. </w:t>
            </w:r>
          </w:p>
          <w:p w14:paraId="57EE7D6F" w14:textId="77777777" w:rsidR="00AA6282" w:rsidRDefault="00AA6282"/>
          <w:p w14:paraId="08F4B28E" w14:textId="03A47A25" w:rsidR="00FF42D5" w:rsidRDefault="007767DF">
            <w:r>
              <w:t>Benefits of planning</w:t>
            </w:r>
          </w:p>
        </w:tc>
        <w:tc>
          <w:tcPr>
            <w:tcW w:w="1417" w:type="dxa"/>
          </w:tcPr>
          <w:p w14:paraId="61D3722D" w14:textId="77777777" w:rsidR="00FF42D5" w:rsidRDefault="007767DF">
            <w:r>
              <w:t>Pick at least 1 activity to develop well-being</w:t>
            </w:r>
          </w:p>
          <w:p w14:paraId="566E8961" w14:textId="77777777" w:rsidR="007767DF" w:rsidRDefault="007767DF"/>
          <w:p w14:paraId="37F348D0" w14:textId="0B3D338D" w:rsidR="00AA6282" w:rsidRDefault="00AA6282"/>
          <w:p w14:paraId="2E72B9D1" w14:textId="45EF4F7C" w:rsidR="007767DF" w:rsidRDefault="00AA6282">
            <w:r>
              <w:t>T</w:t>
            </w:r>
            <w:r w:rsidR="007767DF">
              <w:t xml:space="preserve">ools </w:t>
            </w:r>
            <w:r w:rsidR="004E192F">
              <w:t>t</w:t>
            </w:r>
            <w:r w:rsidR="007767DF">
              <w:t>o record and evaluate changes</w:t>
            </w:r>
          </w:p>
        </w:tc>
        <w:tc>
          <w:tcPr>
            <w:tcW w:w="3747" w:type="dxa"/>
          </w:tcPr>
          <w:p w14:paraId="344815DD" w14:textId="51BA877C" w:rsidR="00FF42D5" w:rsidRDefault="007767DF">
            <w:r>
              <w:t xml:space="preserve">During prep time use </w:t>
            </w:r>
            <w:r w:rsidR="00AA6282">
              <w:t xml:space="preserve">former </w:t>
            </w:r>
            <w:r>
              <w:t>stude</w:t>
            </w:r>
            <w:r w:rsidR="00AA6282">
              <w:t>n</w:t>
            </w:r>
            <w:r>
              <w:t>t examples where they have benefited fr</w:t>
            </w:r>
            <w:r w:rsidR="00AA6282">
              <w:t>o</w:t>
            </w:r>
            <w:r>
              <w:t>m time management tools. Talk through benefits.</w:t>
            </w:r>
          </w:p>
          <w:p w14:paraId="3B5261F2" w14:textId="77777777" w:rsidR="007767DF" w:rsidRDefault="007767DF"/>
          <w:p w14:paraId="1AC1AAAE" w14:textId="7BEC798C" w:rsidR="007767DF" w:rsidRDefault="007767DF">
            <w:r>
              <w:t>Share suggestions for example volunteering in college on how students can grow.</w:t>
            </w:r>
          </w:p>
          <w:p w14:paraId="39FFDBC2" w14:textId="77777777" w:rsidR="00AA6282" w:rsidRDefault="00AA6282"/>
          <w:p w14:paraId="024F64AA" w14:textId="1DA9E180" w:rsidR="007767DF" w:rsidRDefault="007767DF" w:rsidP="00C70F0A">
            <w:r>
              <w:t>Prompt that this section will be re-visited. Give s</w:t>
            </w:r>
            <w:r w:rsidR="00D461D1">
              <w:t>ome</w:t>
            </w:r>
            <w:r>
              <w:t>thing a go. No right answers.</w:t>
            </w:r>
          </w:p>
        </w:tc>
      </w:tr>
      <w:tr w:rsidR="007704E0" w14:paraId="26CD1AC5" w14:textId="77777777" w:rsidTr="000D02A5">
        <w:tc>
          <w:tcPr>
            <w:tcW w:w="13948" w:type="dxa"/>
            <w:gridSpan w:val="7"/>
            <w:shd w:val="clear" w:color="auto" w:fill="E7E6E6" w:themeFill="background2"/>
          </w:tcPr>
          <w:p w14:paraId="3FB1E5E3" w14:textId="77777777" w:rsidR="007704E0" w:rsidRDefault="007704E0"/>
        </w:tc>
      </w:tr>
      <w:tr w:rsidR="004E192F" w14:paraId="2D8E8B8C" w14:textId="77777777" w:rsidTr="007704E0">
        <w:tc>
          <w:tcPr>
            <w:tcW w:w="1547" w:type="dxa"/>
          </w:tcPr>
          <w:p w14:paraId="2855BDF9" w14:textId="77777777" w:rsidR="00FF42D5" w:rsidRDefault="00C70F0A">
            <w:r>
              <w:t>03B Expectations and how to cope with learning</w:t>
            </w:r>
          </w:p>
          <w:p w14:paraId="68FD8110" w14:textId="77777777" w:rsidR="00C70F0A" w:rsidRDefault="00C70F0A"/>
          <w:p w14:paraId="2588C139" w14:textId="22C72F48" w:rsidR="00C70F0A" w:rsidRDefault="00C70F0A">
            <w:r>
              <w:t>Reflect on learning and skills</w:t>
            </w:r>
          </w:p>
        </w:tc>
        <w:tc>
          <w:tcPr>
            <w:tcW w:w="2417" w:type="dxa"/>
            <w:shd w:val="clear" w:color="auto" w:fill="D9E2F3" w:themeFill="accent1" w:themeFillTint="33"/>
          </w:tcPr>
          <w:p w14:paraId="0A697064" w14:textId="46CCD461" w:rsidR="00FF42D5" w:rsidRDefault="00C70F0A">
            <w:r>
              <w:t>How learning is impacted by your environment. Not on your own.</w:t>
            </w:r>
          </w:p>
        </w:tc>
        <w:tc>
          <w:tcPr>
            <w:tcW w:w="1637" w:type="dxa"/>
            <w:shd w:val="clear" w:color="auto" w:fill="A8D08D" w:themeFill="accent6" w:themeFillTint="99"/>
          </w:tcPr>
          <w:p w14:paraId="4C123BE2" w14:textId="77777777" w:rsidR="00FF42D5" w:rsidRDefault="00C70F0A">
            <w:r>
              <w:t xml:space="preserve">Communication </w:t>
            </w:r>
          </w:p>
          <w:p w14:paraId="604AB55C" w14:textId="279E6A89" w:rsidR="00C70F0A" w:rsidRDefault="00C70F0A">
            <w:r>
              <w:t>Collaboration</w:t>
            </w:r>
          </w:p>
          <w:p w14:paraId="0369C112" w14:textId="77777777" w:rsidR="00AA6282" w:rsidRDefault="00AA6282"/>
          <w:p w14:paraId="0A096727" w14:textId="1ADA6120" w:rsidR="00C70F0A" w:rsidRDefault="00C70F0A">
            <w:r>
              <w:t>Importance of peer learning and support</w:t>
            </w:r>
          </w:p>
        </w:tc>
        <w:tc>
          <w:tcPr>
            <w:tcW w:w="1624" w:type="dxa"/>
            <w:shd w:val="clear" w:color="auto" w:fill="E2EFD9" w:themeFill="accent6" w:themeFillTint="33"/>
          </w:tcPr>
          <w:p w14:paraId="7797AC3F" w14:textId="2E285D89" w:rsidR="00FF42D5" w:rsidRDefault="008446B8">
            <w:r>
              <w:t>Self-regulation</w:t>
            </w:r>
          </w:p>
          <w:p w14:paraId="7B2C1BCE" w14:textId="77777777" w:rsidR="00C70F0A" w:rsidRDefault="00C70F0A"/>
          <w:p w14:paraId="7999BEC2" w14:textId="77777777" w:rsidR="00AA6282" w:rsidRDefault="00AA6282"/>
          <w:p w14:paraId="25C6E6D6" w14:textId="0B2084F7" w:rsidR="00C70F0A" w:rsidRDefault="00C70F0A">
            <w:r>
              <w:t>Flexibility on learning. Setting of manageable expectations</w:t>
            </w:r>
          </w:p>
        </w:tc>
        <w:tc>
          <w:tcPr>
            <w:tcW w:w="1559" w:type="dxa"/>
          </w:tcPr>
          <w:p w14:paraId="602EDC4E" w14:textId="1A38202D" w:rsidR="00FF42D5" w:rsidRDefault="00C70F0A">
            <w:r>
              <w:t>Importance of how to learn and the social impact of learning</w:t>
            </w:r>
            <w:r w:rsidR="00AA6282">
              <w:t>.</w:t>
            </w:r>
          </w:p>
          <w:p w14:paraId="21BF2689" w14:textId="62A7D09A" w:rsidR="00C70F0A" w:rsidRDefault="00C70F0A"/>
          <w:p w14:paraId="5AFA8C18" w14:textId="35B90BE2" w:rsidR="00C70F0A" w:rsidRDefault="00C70F0A">
            <w:r>
              <w:t>Skills I have and can use</w:t>
            </w:r>
          </w:p>
          <w:p w14:paraId="026E9717" w14:textId="77777777" w:rsidR="00C70F0A" w:rsidRDefault="00C70F0A"/>
          <w:p w14:paraId="5A9264E6" w14:textId="6D94D9A6" w:rsidR="00C70F0A" w:rsidRDefault="00C70F0A"/>
        </w:tc>
        <w:tc>
          <w:tcPr>
            <w:tcW w:w="1417" w:type="dxa"/>
          </w:tcPr>
          <w:p w14:paraId="432F368C" w14:textId="77777777" w:rsidR="00FF42D5" w:rsidRDefault="00C70F0A">
            <w:r>
              <w:t xml:space="preserve">Articulate skills I have. </w:t>
            </w:r>
          </w:p>
          <w:p w14:paraId="618B46AE" w14:textId="77777777" w:rsidR="00C70F0A" w:rsidRDefault="00C70F0A"/>
          <w:p w14:paraId="396EA06E" w14:textId="77777777" w:rsidR="00C70F0A" w:rsidRDefault="00C70F0A">
            <w:r>
              <w:t>Consider potential difficulties and how these can be worked through</w:t>
            </w:r>
          </w:p>
          <w:p w14:paraId="3D35BE7F" w14:textId="76371006" w:rsidR="00AA6282" w:rsidRDefault="00AA6282"/>
        </w:tc>
        <w:tc>
          <w:tcPr>
            <w:tcW w:w="3747" w:type="dxa"/>
          </w:tcPr>
          <w:p w14:paraId="38B03686" w14:textId="43B45942" w:rsidR="00D06E04" w:rsidRDefault="00D06E04">
            <w:r>
              <w:t>Podcast discussions on settling in</w:t>
            </w:r>
          </w:p>
          <w:p w14:paraId="3C420BE5" w14:textId="77777777" w:rsidR="00D06E04" w:rsidRDefault="00D06E04"/>
          <w:p w14:paraId="25085C18" w14:textId="5B28834D" w:rsidR="00FF42D5" w:rsidRDefault="00C70F0A">
            <w:r>
              <w:t>Students talk or write about their learning in a positive way.</w:t>
            </w:r>
          </w:p>
          <w:p w14:paraId="42FCF736" w14:textId="77777777" w:rsidR="00C70F0A" w:rsidRDefault="00C70F0A"/>
          <w:p w14:paraId="1162013B" w14:textId="77777777" w:rsidR="00C70F0A" w:rsidRDefault="00C70F0A">
            <w:r>
              <w:t xml:space="preserve">Look at learning as solution focussed. </w:t>
            </w:r>
          </w:p>
          <w:p w14:paraId="65E95366" w14:textId="77777777" w:rsidR="00C70F0A" w:rsidRDefault="00C70F0A"/>
          <w:p w14:paraId="51D9DA0A" w14:textId="07CBF5E6" w:rsidR="00C70F0A" w:rsidRDefault="00C70F0A">
            <w:r>
              <w:t>Prompt talk about learning journey</w:t>
            </w:r>
          </w:p>
        </w:tc>
      </w:tr>
      <w:tr w:rsidR="004E192F" w:rsidRPr="001F224F" w14:paraId="1843504E" w14:textId="77777777" w:rsidTr="007704E0">
        <w:tc>
          <w:tcPr>
            <w:tcW w:w="1547" w:type="dxa"/>
          </w:tcPr>
          <w:p w14:paraId="02FBFB7B" w14:textId="77777777" w:rsidR="00C70F0A" w:rsidRDefault="00C70F0A" w:rsidP="00A20777">
            <w:r>
              <w:t>PHE exercise</w:t>
            </w:r>
          </w:p>
        </w:tc>
        <w:tc>
          <w:tcPr>
            <w:tcW w:w="2417" w:type="dxa"/>
            <w:shd w:val="clear" w:color="auto" w:fill="D9E2F3" w:themeFill="accent1" w:themeFillTint="33"/>
          </w:tcPr>
          <w:p w14:paraId="17EB4865" w14:textId="77777777" w:rsidR="00C70F0A" w:rsidRPr="00FF42D5" w:rsidRDefault="00C70F0A" w:rsidP="00A20777">
            <w:pPr>
              <w:rPr>
                <w:b/>
                <w:bCs/>
                <w:sz w:val="28"/>
                <w:szCs w:val="28"/>
              </w:rPr>
            </w:pPr>
            <w:r w:rsidRPr="00FF42D5">
              <w:rPr>
                <w:b/>
                <w:bCs/>
                <w:sz w:val="28"/>
                <w:szCs w:val="28"/>
              </w:rPr>
              <w:t>Learning to Learn</w:t>
            </w:r>
          </w:p>
          <w:p w14:paraId="384512B3" w14:textId="77777777" w:rsidR="00C70F0A" w:rsidRDefault="00C70F0A" w:rsidP="00A20777">
            <w:r>
              <w:t>Critical thinking</w:t>
            </w:r>
          </w:p>
          <w:p w14:paraId="4CEB3CDC" w14:textId="77777777" w:rsidR="00C70F0A" w:rsidRDefault="00C70F0A" w:rsidP="00A20777">
            <w:r>
              <w:t>Engaging with your own potential learning and progress</w:t>
            </w:r>
          </w:p>
          <w:p w14:paraId="778AA9F9" w14:textId="77777777" w:rsidR="00C70F0A" w:rsidRDefault="00C70F0A" w:rsidP="00A20777">
            <w:r>
              <w:t>Self-management of learning</w:t>
            </w:r>
          </w:p>
        </w:tc>
        <w:tc>
          <w:tcPr>
            <w:tcW w:w="1637" w:type="dxa"/>
            <w:shd w:val="clear" w:color="auto" w:fill="A8D08D" w:themeFill="accent6" w:themeFillTint="99"/>
          </w:tcPr>
          <w:p w14:paraId="1DA79E6F" w14:textId="77777777" w:rsidR="00C70F0A" w:rsidRPr="00FF42D5" w:rsidRDefault="00C70F0A" w:rsidP="00A20777">
            <w:pPr>
              <w:rPr>
                <w:b/>
                <w:bCs/>
                <w:sz w:val="28"/>
                <w:szCs w:val="28"/>
              </w:rPr>
            </w:pPr>
            <w:r w:rsidRPr="00FF42D5">
              <w:rPr>
                <w:b/>
                <w:bCs/>
                <w:sz w:val="28"/>
                <w:szCs w:val="28"/>
              </w:rPr>
              <w:t>Social</w:t>
            </w:r>
          </w:p>
          <w:p w14:paraId="4275CE3C" w14:textId="77777777" w:rsidR="00C70F0A" w:rsidRDefault="00C70F0A" w:rsidP="00A20777">
            <w:r>
              <w:t>Communication</w:t>
            </w:r>
          </w:p>
          <w:p w14:paraId="3C759955" w14:textId="77777777" w:rsidR="00C70F0A" w:rsidRDefault="00C70F0A" w:rsidP="00A20777">
            <w:r>
              <w:t>Collaboration</w:t>
            </w:r>
          </w:p>
          <w:p w14:paraId="06881AF0" w14:textId="77777777" w:rsidR="00C70F0A" w:rsidRDefault="00C70F0A" w:rsidP="00A20777">
            <w:r>
              <w:t>Empathy</w:t>
            </w:r>
          </w:p>
        </w:tc>
        <w:tc>
          <w:tcPr>
            <w:tcW w:w="1624" w:type="dxa"/>
            <w:shd w:val="clear" w:color="auto" w:fill="E2EFD9" w:themeFill="accent6" w:themeFillTint="33"/>
          </w:tcPr>
          <w:p w14:paraId="2E7E207C" w14:textId="77777777" w:rsidR="00C70F0A" w:rsidRPr="00FF42D5" w:rsidRDefault="00C70F0A" w:rsidP="00A20777">
            <w:pPr>
              <w:rPr>
                <w:b/>
                <w:bCs/>
                <w:sz w:val="28"/>
                <w:szCs w:val="28"/>
              </w:rPr>
            </w:pPr>
            <w:r w:rsidRPr="00FF42D5">
              <w:rPr>
                <w:b/>
                <w:bCs/>
                <w:sz w:val="28"/>
                <w:szCs w:val="28"/>
              </w:rPr>
              <w:t>Personal</w:t>
            </w:r>
          </w:p>
          <w:p w14:paraId="37B110D6" w14:textId="77777777" w:rsidR="00C70F0A" w:rsidRDefault="00C70F0A" w:rsidP="00A20777">
            <w:r>
              <w:t>Self-regulation</w:t>
            </w:r>
          </w:p>
          <w:p w14:paraId="1EDFA8C7" w14:textId="77777777" w:rsidR="00C70F0A" w:rsidRDefault="00C70F0A" w:rsidP="00A20777">
            <w:r>
              <w:t>Flexibility</w:t>
            </w:r>
          </w:p>
          <w:p w14:paraId="055A9544" w14:textId="77777777" w:rsidR="00C70F0A" w:rsidRDefault="00C70F0A" w:rsidP="00A20777">
            <w:r>
              <w:t>Well-being</w:t>
            </w:r>
          </w:p>
        </w:tc>
        <w:tc>
          <w:tcPr>
            <w:tcW w:w="1559" w:type="dxa"/>
          </w:tcPr>
          <w:p w14:paraId="7F1D034D" w14:textId="77777777" w:rsidR="00C70F0A" w:rsidRPr="00FF42D5" w:rsidRDefault="00C70F0A" w:rsidP="00A20777">
            <w:pPr>
              <w:rPr>
                <w:b/>
                <w:bCs/>
              </w:rPr>
            </w:pPr>
            <w:r w:rsidRPr="00FF42D5">
              <w:rPr>
                <w:b/>
                <w:bCs/>
              </w:rPr>
              <w:t>Awareness &amp; unde</w:t>
            </w:r>
            <w:r>
              <w:rPr>
                <w:b/>
                <w:bCs/>
              </w:rPr>
              <w:t>r</w:t>
            </w:r>
            <w:r w:rsidRPr="00FF42D5">
              <w:rPr>
                <w:b/>
                <w:bCs/>
              </w:rPr>
              <w:t>standing</w:t>
            </w:r>
          </w:p>
        </w:tc>
        <w:tc>
          <w:tcPr>
            <w:tcW w:w="1417" w:type="dxa"/>
          </w:tcPr>
          <w:p w14:paraId="1714AA9E" w14:textId="77777777" w:rsidR="00C70F0A" w:rsidRPr="00FF42D5" w:rsidRDefault="00C70F0A" w:rsidP="00A20777">
            <w:pPr>
              <w:rPr>
                <w:b/>
                <w:bCs/>
              </w:rPr>
            </w:pPr>
            <w:r w:rsidRPr="00FF42D5">
              <w:rPr>
                <w:b/>
                <w:bCs/>
              </w:rPr>
              <w:t>Active</w:t>
            </w:r>
          </w:p>
        </w:tc>
        <w:tc>
          <w:tcPr>
            <w:tcW w:w="3747" w:type="dxa"/>
          </w:tcPr>
          <w:p w14:paraId="0EE23CCD" w14:textId="77777777" w:rsidR="00C70F0A" w:rsidRPr="001F224F" w:rsidRDefault="00C70F0A" w:rsidP="00A20777">
            <w:pPr>
              <w:rPr>
                <w:b/>
                <w:bCs/>
                <w:sz w:val="28"/>
                <w:szCs w:val="28"/>
              </w:rPr>
            </w:pPr>
            <w:r w:rsidRPr="001F224F">
              <w:rPr>
                <w:b/>
                <w:bCs/>
                <w:sz w:val="28"/>
                <w:szCs w:val="28"/>
              </w:rPr>
              <w:t>Tutor activity / enquiry</w:t>
            </w:r>
          </w:p>
        </w:tc>
      </w:tr>
      <w:tr w:rsidR="00C70F0A" w:rsidRPr="001F224F" w14:paraId="3ECC7289" w14:textId="77777777" w:rsidTr="007704E0">
        <w:tc>
          <w:tcPr>
            <w:tcW w:w="1547" w:type="dxa"/>
          </w:tcPr>
          <w:p w14:paraId="27E3A79B" w14:textId="77777777" w:rsidR="004E192F" w:rsidRDefault="004E192F" w:rsidP="00A20777">
            <w:r>
              <w:t>03C</w:t>
            </w:r>
          </w:p>
          <w:p w14:paraId="5E57F758" w14:textId="7019C691" w:rsidR="00C70F0A" w:rsidRDefault="00D06E04" w:rsidP="00A20777">
            <w:r>
              <w:t>Developing positive learning mindset</w:t>
            </w:r>
          </w:p>
          <w:p w14:paraId="1FB63B9D" w14:textId="77777777" w:rsidR="00D06E04" w:rsidRDefault="00D06E04" w:rsidP="00A20777"/>
          <w:p w14:paraId="3818B7C7" w14:textId="090E0404" w:rsidR="00D06E04" w:rsidRDefault="00D06E04" w:rsidP="00A20777">
            <w:r>
              <w:t>I</w:t>
            </w:r>
            <w:r w:rsidR="00AA6282">
              <w:t>T</w:t>
            </w:r>
            <w:r>
              <w:t xml:space="preserve"> / online learning</w:t>
            </w:r>
          </w:p>
        </w:tc>
        <w:tc>
          <w:tcPr>
            <w:tcW w:w="2417" w:type="dxa"/>
            <w:shd w:val="clear" w:color="auto" w:fill="D9E2F3" w:themeFill="accent1" w:themeFillTint="33"/>
          </w:tcPr>
          <w:p w14:paraId="1816B372" w14:textId="77777777" w:rsidR="00C70F0A" w:rsidRDefault="001F30A4" w:rsidP="00A20777">
            <w:r>
              <w:t>Evaluate i</w:t>
            </w:r>
            <w:r w:rsidRPr="001F30A4">
              <w:t xml:space="preserve">mpact of thinking about learning </w:t>
            </w:r>
          </w:p>
          <w:p w14:paraId="1953F362" w14:textId="77777777" w:rsidR="001F30A4" w:rsidRDefault="001F30A4" w:rsidP="00A20777"/>
          <w:p w14:paraId="303C04F9" w14:textId="77777777" w:rsidR="001F30A4" w:rsidRDefault="001F30A4" w:rsidP="00A20777"/>
          <w:p w14:paraId="151A03E4" w14:textId="77777777" w:rsidR="001F30A4" w:rsidRDefault="001F30A4" w:rsidP="00A20777"/>
          <w:p w14:paraId="5B5BC3F3" w14:textId="77777777" w:rsidR="00AA6282" w:rsidRDefault="00AA6282" w:rsidP="00A20777"/>
          <w:p w14:paraId="00C18898" w14:textId="77777777" w:rsidR="00AA6282" w:rsidRDefault="00AA6282" w:rsidP="00A20777"/>
          <w:p w14:paraId="274F233D" w14:textId="16CE3B31" w:rsidR="001F30A4" w:rsidRPr="001F30A4" w:rsidRDefault="001F30A4" w:rsidP="00A20777">
            <w:r>
              <w:t>Impact of IT and online learning. How it can be developed further</w:t>
            </w:r>
          </w:p>
        </w:tc>
        <w:tc>
          <w:tcPr>
            <w:tcW w:w="1637" w:type="dxa"/>
            <w:shd w:val="clear" w:color="auto" w:fill="A8D08D" w:themeFill="accent6" w:themeFillTint="99"/>
          </w:tcPr>
          <w:p w14:paraId="65947FC8" w14:textId="77777777" w:rsidR="00C70F0A" w:rsidRDefault="001F30A4" w:rsidP="00A20777">
            <w:r w:rsidRPr="001F30A4">
              <w:t xml:space="preserve">Impact of </w:t>
            </w:r>
            <w:r>
              <w:t>learning on others. What happens when I start thinking positively?</w:t>
            </w:r>
          </w:p>
          <w:p w14:paraId="7A9C2AA4" w14:textId="77777777" w:rsidR="001F30A4" w:rsidRDefault="001F30A4" w:rsidP="00A20777"/>
          <w:p w14:paraId="22079BC0" w14:textId="292DE2B7" w:rsidR="001F30A4" w:rsidRPr="001F30A4" w:rsidRDefault="001F30A4" w:rsidP="00A20777">
            <w:r>
              <w:t xml:space="preserve">How does IT make me more of a social </w:t>
            </w:r>
            <w:r w:rsidR="00AA6282">
              <w:t>learner</w:t>
            </w:r>
          </w:p>
        </w:tc>
        <w:tc>
          <w:tcPr>
            <w:tcW w:w="1624" w:type="dxa"/>
            <w:shd w:val="clear" w:color="auto" w:fill="E2EFD9" w:themeFill="accent6" w:themeFillTint="33"/>
          </w:tcPr>
          <w:p w14:paraId="4E26D7B6" w14:textId="77777777" w:rsidR="00C70F0A" w:rsidRDefault="001F30A4" w:rsidP="00A20777">
            <w:r w:rsidRPr="001F30A4">
              <w:t>Impact of learning on myself</w:t>
            </w:r>
            <w:r>
              <w:t>.</w:t>
            </w:r>
          </w:p>
          <w:p w14:paraId="633910E7" w14:textId="77777777" w:rsidR="001F30A4" w:rsidRDefault="001F30A4" w:rsidP="00A20777"/>
          <w:p w14:paraId="015BFBE2" w14:textId="77777777" w:rsidR="001F30A4" w:rsidRDefault="001F30A4" w:rsidP="00A20777"/>
          <w:p w14:paraId="413C324C" w14:textId="77777777" w:rsidR="00AA6282" w:rsidRDefault="00AA6282" w:rsidP="00A20777"/>
          <w:p w14:paraId="007B573C" w14:textId="77777777" w:rsidR="00AA6282" w:rsidRDefault="00AA6282" w:rsidP="00A20777"/>
          <w:p w14:paraId="2300E09B" w14:textId="3D62559E" w:rsidR="001F30A4" w:rsidRDefault="001F30A4" w:rsidP="00A20777">
            <w:r>
              <w:t xml:space="preserve">Impact of IT learning on well-being. </w:t>
            </w:r>
          </w:p>
          <w:p w14:paraId="18EEDE42" w14:textId="40DABFE7" w:rsidR="001F30A4" w:rsidRPr="001F30A4" w:rsidRDefault="001F30A4" w:rsidP="00A20777"/>
        </w:tc>
        <w:tc>
          <w:tcPr>
            <w:tcW w:w="1559" w:type="dxa"/>
          </w:tcPr>
          <w:p w14:paraId="758CB7B8" w14:textId="77777777" w:rsidR="00C70F0A" w:rsidRDefault="00D06E04" w:rsidP="00A20777">
            <w:r w:rsidRPr="00D06E04">
              <w:t>Develop a critique of mindset.</w:t>
            </w:r>
          </w:p>
          <w:p w14:paraId="320A4403" w14:textId="77777777" w:rsidR="001F30A4" w:rsidRDefault="001F30A4" w:rsidP="00A20777"/>
          <w:p w14:paraId="01A7A69D" w14:textId="77777777" w:rsidR="001F30A4" w:rsidRDefault="001F30A4" w:rsidP="00A20777"/>
          <w:p w14:paraId="424BCFD3" w14:textId="109A8187" w:rsidR="001F30A4" w:rsidRDefault="001F30A4" w:rsidP="00A20777">
            <w:r>
              <w:t>Positive of learning online. Handling disadvantages. Developing solutions</w:t>
            </w:r>
          </w:p>
          <w:p w14:paraId="1ED144B9" w14:textId="17AF7C9A" w:rsidR="001F30A4" w:rsidRPr="00D06E04" w:rsidRDefault="001F30A4" w:rsidP="00A20777"/>
        </w:tc>
        <w:tc>
          <w:tcPr>
            <w:tcW w:w="1417" w:type="dxa"/>
          </w:tcPr>
          <w:p w14:paraId="147B82FB" w14:textId="5D714774" w:rsidR="00C70F0A" w:rsidRDefault="00D06E04" w:rsidP="00A20777">
            <w:r>
              <w:t xml:space="preserve">Look ahead on </w:t>
            </w:r>
            <w:r w:rsidR="001F30A4">
              <w:t>how positive mindset may support learning</w:t>
            </w:r>
          </w:p>
          <w:p w14:paraId="371D9D1C" w14:textId="77777777" w:rsidR="00D06E04" w:rsidRDefault="00D06E04" w:rsidP="00A20777"/>
          <w:p w14:paraId="5D463044" w14:textId="4A0C1FCD" w:rsidR="00D06E04" w:rsidRPr="00D06E04" w:rsidRDefault="00D06E04" w:rsidP="00A20777">
            <w:r>
              <w:t>Evaluate impact of IT and online learning. Reflect and improve</w:t>
            </w:r>
          </w:p>
        </w:tc>
        <w:tc>
          <w:tcPr>
            <w:tcW w:w="3747" w:type="dxa"/>
          </w:tcPr>
          <w:p w14:paraId="7F77A6AC" w14:textId="77777777" w:rsidR="00C70F0A" w:rsidRDefault="00D06E04" w:rsidP="00A20777">
            <w:r w:rsidRPr="00D06E04">
              <w:t>Group discussion</w:t>
            </w:r>
            <w:r>
              <w:t xml:space="preserve"> on mindset. Consider advantages and disadvantages of the approach.</w:t>
            </w:r>
          </w:p>
          <w:p w14:paraId="7C37CBAB" w14:textId="77777777" w:rsidR="00D06E04" w:rsidRDefault="00D06E04" w:rsidP="00A20777"/>
          <w:p w14:paraId="2B3F36E3" w14:textId="77777777" w:rsidR="00AA6282" w:rsidRDefault="00AA6282" w:rsidP="00A20777"/>
          <w:p w14:paraId="58D7B66A" w14:textId="77777777" w:rsidR="00AA6282" w:rsidRDefault="00AA6282" w:rsidP="00A20777"/>
          <w:p w14:paraId="05033BF3" w14:textId="77777777" w:rsidR="00AA6282" w:rsidRDefault="00AA6282" w:rsidP="00A20777"/>
          <w:p w14:paraId="68B69058" w14:textId="667DD939" w:rsidR="00D06E04" w:rsidRPr="00D06E04" w:rsidRDefault="00D06E04" w:rsidP="00A20777">
            <w:r>
              <w:t xml:space="preserve">Feedback on online learning. Use it to consider areas of enhancement. Pick up any student </w:t>
            </w:r>
            <w:r w:rsidR="00D461D1">
              <w:t xml:space="preserve">IT </w:t>
            </w:r>
            <w:r>
              <w:t>struggles</w:t>
            </w:r>
          </w:p>
        </w:tc>
      </w:tr>
      <w:tr w:rsidR="007704E0" w:rsidRPr="001F224F" w14:paraId="70609E90" w14:textId="77777777" w:rsidTr="007704E0">
        <w:tc>
          <w:tcPr>
            <w:tcW w:w="13948" w:type="dxa"/>
            <w:gridSpan w:val="7"/>
            <w:shd w:val="clear" w:color="auto" w:fill="E7E6E6" w:themeFill="background2"/>
          </w:tcPr>
          <w:p w14:paraId="55887E42" w14:textId="77777777" w:rsidR="007704E0" w:rsidRPr="001F30A4" w:rsidRDefault="007704E0" w:rsidP="00A20777"/>
        </w:tc>
      </w:tr>
      <w:tr w:rsidR="00C70F0A" w:rsidRPr="001F224F" w14:paraId="2C1F4C6E" w14:textId="77777777" w:rsidTr="007704E0">
        <w:tc>
          <w:tcPr>
            <w:tcW w:w="1547" w:type="dxa"/>
          </w:tcPr>
          <w:p w14:paraId="2389C6A3" w14:textId="77777777" w:rsidR="004E192F" w:rsidRDefault="004E192F" w:rsidP="00A20777">
            <w:r>
              <w:t>03D</w:t>
            </w:r>
          </w:p>
          <w:p w14:paraId="1733E617" w14:textId="68F54B8D" w:rsidR="00C70F0A" w:rsidRDefault="004E192F" w:rsidP="00A20777">
            <w:r>
              <w:t xml:space="preserve">Accept and offer </w:t>
            </w:r>
            <w:r w:rsidR="00D06E04">
              <w:t>Support</w:t>
            </w:r>
          </w:p>
          <w:p w14:paraId="7871BFE9" w14:textId="77777777" w:rsidR="00D06E04" w:rsidRDefault="00D06E04" w:rsidP="00A20777"/>
          <w:p w14:paraId="690FABEF" w14:textId="5DADCD77" w:rsidR="00D06E04" w:rsidRDefault="00D06E04" w:rsidP="00A20777">
            <w:r>
              <w:t>Time management and study environment</w:t>
            </w:r>
          </w:p>
        </w:tc>
        <w:tc>
          <w:tcPr>
            <w:tcW w:w="2417" w:type="dxa"/>
            <w:shd w:val="clear" w:color="auto" w:fill="D9E2F3" w:themeFill="accent1" w:themeFillTint="33"/>
          </w:tcPr>
          <w:p w14:paraId="5A5E3A4D" w14:textId="77777777" w:rsidR="00C70F0A" w:rsidRDefault="001F30A4" w:rsidP="00A20777">
            <w:r w:rsidRPr="004E192F">
              <w:t>Self-management of learning</w:t>
            </w:r>
          </w:p>
          <w:p w14:paraId="5E398AB4" w14:textId="77777777" w:rsidR="004E192F" w:rsidRDefault="004E192F" w:rsidP="00A20777"/>
          <w:p w14:paraId="1B1A544D" w14:textId="77777777" w:rsidR="00AA6282" w:rsidRDefault="00AA6282" w:rsidP="00A20777"/>
          <w:p w14:paraId="1943E22B" w14:textId="681F7D64" w:rsidR="004E192F" w:rsidRPr="004E192F" w:rsidRDefault="004E192F" w:rsidP="00A20777">
            <w:r>
              <w:t>Critically evaluate successes – consider how to develop</w:t>
            </w:r>
          </w:p>
        </w:tc>
        <w:tc>
          <w:tcPr>
            <w:tcW w:w="1637" w:type="dxa"/>
            <w:shd w:val="clear" w:color="auto" w:fill="A8D08D" w:themeFill="accent6" w:themeFillTint="99"/>
          </w:tcPr>
          <w:p w14:paraId="5C484624" w14:textId="421644D0" w:rsidR="00C70F0A" w:rsidRPr="004E192F" w:rsidRDefault="004E192F" w:rsidP="00A20777">
            <w:r>
              <w:t>Impact on learning on others.</w:t>
            </w:r>
          </w:p>
        </w:tc>
        <w:tc>
          <w:tcPr>
            <w:tcW w:w="1624" w:type="dxa"/>
            <w:shd w:val="clear" w:color="auto" w:fill="E2EFD9" w:themeFill="accent6" w:themeFillTint="33"/>
          </w:tcPr>
          <w:p w14:paraId="2EBD54D8" w14:textId="77777777" w:rsidR="00C70F0A" w:rsidRDefault="004E192F" w:rsidP="00A20777">
            <w:r>
              <w:t>Well-being</w:t>
            </w:r>
          </w:p>
          <w:p w14:paraId="5738EC18" w14:textId="77777777" w:rsidR="004E192F" w:rsidRDefault="004E192F" w:rsidP="00A20777"/>
          <w:p w14:paraId="6FB889CD" w14:textId="77777777" w:rsidR="00AA6282" w:rsidRDefault="00AA6282" w:rsidP="00A20777"/>
          <w:p w14:paraId="20396C03" w14:textId="77777777" w:rsidR="00AA6282" w:rsidRDefault="00AA6282" w:rsidP="00A20777"/>
          <w:p w14:paraId="5BB7A799" w14:textId="158B689F" w:rsidR="004E192F" w:rsidRPr="004E192F" w:rsidRDefault="004E192F" w:rsidP="00A20777">
            <w:r>
              <w:t>Self-responsibility</w:t>
            </w:r>
          </w:p>
        </w:tc>
        <w:tc>
          <w:tcPr>
            <w:tcW w:w="1559" w:type="dxa"/>
          </w:tcPr>
          <w:p w14:paraId="312BB3D2" w14:textId="77777777" w:rsidR="00C70F0A" w:rsidRDefault="004E192F" w:rsidP="00A20777">
            <w:r w:rsidRPr="004E192F">
              <w:t>Importa</w:t>
            </w:r>
            <w:r>
              <w:t>n</w:t>
            </w:r>
            <w:r w:rsidRPr="004E192F">
              <w:t>ce of support</w:t>
            </w:r>
            <w:r>
              <w:t xml:space="preserve"> for progression. Thinking ahead</w:t>
            </w:r>
          </w:p>
          <w:p w14:paraId="77D42F6B" w14:textId="77777777" w:rsidR="004E192F" w:rsidRDefault="004E192F" w:rsidP="00A20777"/>
          <w:p w14:paraId="2FA56E3A" w14:textId="3AAB9753" w:rsidR="004E192F" w:rsidRPr="004E192F" w:rsidRDefault="004E192F" w:rsidP="00A20777">
            <w:r>
              <w:t>Re-enforcement of Prep activities. Is OK to re-evaluate</w:t>
            </w:r>
          </w:p>
        </w:tc>
        <w:tc>
          <w:tcPr>
            <w:tcW w:w="1417" w:type="dxa"/>
          </w:tcPr>
          <w:p w14:paraId="19D4317A" w14:textId="1267D8B6" w:rsidR="00C70F0A" w:rsidRDefault="001F30A4" w:rsidP="00A20777">
            <w:r>
              <w:t>Participate in g</w:t>
            </w:r>
            <w:r w:rsidRPr="001F30A4">
              <w:t>roup activity on support</w:t>
            </w:r>
          </w:p>
          <w:p w14:paraId="34F1683A" w14:textId="77777777" w:rsidR="001F30A4" w:rsidRDefault="001F30A4" w:rsidP="00A20777"/>
          <w:p w14:paraId="78827225" w14:textId="0A9A440A" w:rsidR="001F30A4" w:rsidRPr="001F30A4" w:rsidRDefault="001F30A4" w:rsidP="00A20777">
            <w:r>
              <w:t>Reflect on success of time management strategy</w:t>
            </w:r>
          </w:p>
        </w:tc>
        <w:tc>
          <w:tcPr>
            <w:tcW w:w="3747" w:type="dxa"/>
          </w:tcPr>
          <w:p w14:paraId="3B9C9A34" w14:textId="135856FD" w:rsidR="00C70F0A" w:rsidRDefault="001F30A4" w:rsidP="00A20777">
            <w:r w:rsidRPr="001F30A4">
              <w:t>Prompt group activity</w:t>
            </w:r>
            <w:r w:rsidR="004E192F">
              <w:t xml:space="preserve"> on how college support can develop learning</w:t>
            </w:r>
          </w:p>
          <w:p w14:paraId="50295DD3" w14:textId="77777777" w:rsidR="001F30A4" w:rsidRDefault="001F30A4" w:rsidP="00A20777"/>
          <w:p w14:paraId="7946D678" w14:textId="77777777" w:rsidR="004E192F" w:rsidRDefault="004E192F" w:rsidP="00A20777"/>
          <w:p w14:paraId="3E6CEBB8" w14:textId="77777777" w:rsidR="004E192F" w:rsidRDefault="004E192F" w:rsidP="00A20777"/>
          <w:p w14:paraId="3F61F5CB" w14:textId="739BD100" w:rsidR="001F30A4" w:rsidRPr="001F30A4" w:rsidRDefault="001F30A4" w:rsidP="00A20777">
            <w:r>
              <w:t>Safe discussion on success of time management strategy. How it can be improved, progressing to 2</w:t>
            </w:r>
            <w:r w:rsidRPr="001F30A4">
              <w:rPr>
                <w:vertAlign w:val="superscript"/>
              </w:rPr>
              <w:t>nd</w:t>
            </w:r>
            <w:r>
              <w:t xml:space="preserve"> half of SWAP.</w:t>
            </w:r>
          </w:p>
        </w:tc>
      </w:tr>
    </w:tbl>
    <w:p w14:paraId="0DBE1C34" w14:textId="77777777" w:rsidR="00371D63" w:rsidRDefault="00371D63"/>
    <w:p w14:paraId="0EFA7609" w14:textId="2A5EB122" w:rsidR="00224492" w:rsidRDefault="00371D63">
      <w:r>
        <w:t xml:space="preserve"> </w:t>
      </w:r>
    </w:p>
    <w:sectPr w:rsidR="00224492" w:rsidSect="002244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92"/>
    <w:rsid w:val="001F224F"/>
    <w:rsid w:val="001F30A4"/>
    <w:rsid w:val="00224492"/>
    <w:rsid w:val="00282F08"/>
    <w:rsid w:val="002B261C"/>
    <w:rsid w:val="00371D63"/>
    <w:rsid w:val="004E192F"/>
    <w:rsid w:val="00610890"/>
    <w:rsid w:val="00617E17"/>
    <w:rsid w:val="007704E0"/>
    <w:rsid w:val="007767DF"/>
    <w:rsid w:val="008446B8"/>
    <w:rsid w:val="008B5B3D"/>
    <w:rsid w:val="00AA6282"/>
    <w:rsid w:val="00B77F03"/>
    <w:rsid w:val="00BA45C6"/>
    <w:rsid w:val="00C70F0A"/>
    <w:rsid w:val="00C93391"/>
    <w:rsid w:val="00D06E04"/>
    <w:rsid w:val="00D461D1"/>
    <w:rsid w:val="00FF4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2F82"/>
  <w15:chartTrackingRefBased/>
  <w15:docId w15:val="{8F57A213-85FB-40D3-A3D2-B65CF06A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2F08"/>
    <w:rPr>
      <w:color w:val="0563C1" w:themeColor="hyperlink"/>
      <w:u w:val="single"/>
    </w:rPr>
  </w:style>
  <w:style w:type="character" w:styleId="UnresolvedMention">
    <w:name w:val="Unresolved Mention"/>
    <w:basedOn w:val="DefaultParagraphFont"/>
    <w:uiPriority w:val="99"/>
    <w:semiHidden/>
    <w:unhideWhenUsed/>
    <w:rsid w:val="00282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ottishwideraccess.org/west-prep-for-he-phe-guidance-for-tu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Anderson</dc:creator>
  <cp:keywords/>
  <dc:description/>
  <cp:lastModifiedBy>Kenneth Anderson</cp:lastModifiedBy>
  <cp:revision>3</cp:revision>
  <dcterms:created xsi:type="dcterms:W3CDTF">2020-09-06T17:50:00Z</dcterms:created>
  <dcterms:modified xsi:type="dcterms:W3CDTF">2020-09-06T17:50:00Z</dcterms:modified>
</cp:coreProperties>
</file>