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49" w:rsidRDefault="00FA5525" w:rsidP="0021012C">
      <w:pPr>
        <w:tabs>
          <w:tab w:val="left" w:pos="6267"/>
        </w:tabs>
        <w:rPr>
          <w:rFonts w:ascii="Arial" w:hAnsi="Arial" w:cs="Arial"/>
          <w:sz w:val="20"/>
          <w:szCs w:val="20"/>
        </w:rPr>
      </w:pPr>
      <w:r>
        <w:rPr>
          <w:rFonts w:ascii="Arial" w:hAnsi="Arial" w:cs="Arial"/>
          <w:noProof/>
          <w:sz w:val="20"/>
          <w:szCs w:val="20"/>
          <w:lang w:eastAsia="en-GB"/>
        </w:rPr>
        <w:drawing>
          <wp:inline distT="0" distB="0" distL="0" distR="0">
            <wp:extent cx="2048510" cy="826770"/>
            <wp:effectExtent l="19050" t="0" r="8890" b="0"/>
            <wp:docPr id="1" name="Picture 1" descr="SWAP Logo Blu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P Logo Blue Light"/>
                    <pic:cNvPicPr>
                      <a:picLocks noChangeAspect="1" noChangeArrowheads="1"/>
                    </pic:cNvPicPr>
                  </pic:nvPicPr>
                  <pic:blipFill>
                    <a:blip r:embed="rId8" cstate="print"/>
                    <a:srcRect/>
                    <a:stretch>
                      <a:fillRect/>
                    </a:stretch>
                  </pic:blipFill>
                  <pic:spPr bwMode="auto">
                    <a:xfrm>
                      <a:off x="0" y="0"/>
                      <a:ext cx="2048510" cy="826770"/>
                    </a:xfrm>
                    <a:prstGeom prst="rect">
                      <a:avLst/>
                    </a:prstGeom>
                    <a:noFill/>
                    <a:ln w="9525">
                      <a:noFill/>
                      <a:miter lim="800000"/>
                      <a:headEnd/>
                      <a:tailEnd/>
                    </a:ln>
                  </pic:spPr>
                </pic:pic>
              </a:graphicData>
            </a:graphic>
          </wp:inline>
        </w:drawing>
      </w:r>
    </w:p>
    <w:p w:rsidR="00212D49" w:rsidRDefault="00212D49" w:rsidP="0021012C">
      <w:pPr>
        <w:tabs>
          <w:tab w:val="left" w:pos="6267"/>
        </w:tabs>
        <w:rPr>
          <w:rFonts w:ascii="Arial" w:hAnsi="Arial" w:cs="Arial"/>
          <w:sz w:val="20"/>
          <w:szCs w:val="20"/>
        </w:rPr>
      </w:pPr>
    </w:p>
    <w:p w:rsidR="00212D49" w:rsidRPr="00212D49" w:rsidRDefault="00385274" w:rsidP="0021012C">
      <w:pPr>
        <w:tabs>
          <w:tab w:val="left" w:pos="6267"/>
        </w:tabs>
        <w:rPr>
          <w:rFonts w:ascii="Arial" w:hAnsi="Arial" w:cs="Arial"/>
          <w:b/>
          <w:sz w:val="24"/>
          <w:szCs w:val="24"/>
        </w:rPr>
      </w:pPr>
      <w:r>
        <w:rPr>
          <w:rFonts w:ascii="Arial" w:hAnsi="Arial" w:cs="Arial"/>
          <w:b/>
          <w:sz w:val="24"/>
          <w:szCs w:val="24"/>
        </w:rPr>
        <w:t xml:space="preserve">Interim </w:t>
      </w:r>
      <w:bookmarkStart w:id="0" w:name="_GoBack"/>
      <w:bookmarkEnd w:id="0"/>
      <w:r w:rsidR="00212D49" w:rsidRPr="00212D49">
        <w:rPr>
          <w:rFonts w:ascii="Arial" w:hAnsi="Arial" w:cs="Arial"/>
          <w:b/>
          <w:sz w:val="24"/>
          <w:szCs w:val="24"/>
        </w:rPr>
        <w:t>Report 201</w:t>
      </w:r>
      <w:r w:rsidR="00497670">
        <w:rPr>
          <w:rFonts w:ascii="Arial" w:hAnsi="Arial" w:cs="Arial"/>
          <w:b/>
          <w:sz w:val="24"/>
          <w:szCs w:val="24"/>
        </w:rPr>
        <w:t>3</w:t>
      </w:r>
      <w:r w:rsidR="00212D49" w:rsidRPr="00212D49">
        <w:rPr>
          <w:rFonts w:ascii="Arial" w:hAnsi="Arial" w:cs="Arial"/>
          <w:b/>
          <w:sz w:val="24"/>
          <w:szCs w:val="24"/>
        </w:rPr>
        <w:t xml:space="preserve"> – 201</w:t>
      </w:r>
      <w:r w:rsidR="00497670">
        <w:rPr>
          <w:rFonts w:ascii="Arial" w:hAnsi="Arial" w:cs="Arial"/>
          <w:b/>
          <w:sz w:val="24"/>
          <w:szCs w:val="24"/>
        </w:rPr>
        <w:t>4</w:t>
      </w:r>
      <w:r w:rsidR="00212D49" w:rsidRPr="00212D49">
        <w:rPr>
          <w:rFonts w:ascii="Arial" w:hAnsi="Arial" w:cs="Arial"/>
          <w:b/>
          <w:sz w:val="24"/>
          <w:szCs w:val="24"/>
        </w:rPr>
        <w:t xml:space="preserve"> to Scottish Funding Council</w:t>
      </w:r>
    </w:p>
    <w:p w:rsidR="00050DC9" w:rsidRPr="00006AEB" w:rsidRDefault="0021012C" w:rsidP="0021012C">
      <w:pPr>
        <w:tabs>
          <w:tab w:val="left" w:pos="6267"/>
        </w:tabs>
        <w:rPr>
          <w:rFonts w:ascii="Arial" w:hAnsi="Arial" w:cs="Arial"/>
          <w:color w:val="FFFFFF"/>
          <w:sz w:val="20"/>
          <w:szCs w:val="20"/>
        </w:rPr>
      </w:pPr>
      <w:r>
        <w:rPr>
          <w:rFonts w:ascii="Arial" w:hAnsi="Arial" w:cs="Arial"/>
          <w:sz w:val="20"/>
          <w:szCs w:val="20"/>
        </w:rPr>
        <w:tab/>
      </w:r>
    </w:p>
    <w:p w:rsidR="00F22EE8" w:rsidRDefault="00633AD2" w:rsidP="00633AD2">
      <w:pPr>
        <w:spacing w:after="0"/>
        <w:ind w:left="567" w:hanging="567"/>
        <w:rPr>
          <w:rFonts w:ascii="Arial" w:hAnsi="Arial" w:cs="Arial"/>
          <w:b/>
          <w:sz w:val="20"/>
          <w:szCs w:val="20"/>
        </w:rPr>
      </w:pPr>
      <w:r>
        <w:rPr>
          <w:rFonts w:ascii="Arial" w:hAnsi="Arial" w:cs="Arial"/>
          <w:b/>
          <w:sz w:val="20"/>
          <w:szCs w:val="20"/>
        </w:rPr>
        <w:t>1</w:t>
      </w:r>
      <w:r>
        <w:rPr>
          <w:rFonts w:ascii="Arial" w:hAnsi="Arial" w:cs="Arial"/>
          <w:b/>
          <w:sz w:val="20"/>
          <w:szCs w:val="20"/>
        </w:rPr>
        <w:tab/>
      </w:r>
      <w:r w:rsidR="00790E99">
        <w:rPr>
          <w:rFonts w:ascii="Arial" w:hAnsi="Arial" w:cs="Arial"/>
          <w:b/>
          <w:sz w:val="20"/>
          <w:szCs w:val="20"/>
        </w:rPr>
        <w:t>Introduction</w:t>
      </w:r>
    </w:p>
    <w:p w:rsidR="00790E99" w:rsidRDefault="00790E99" w:rsidP="00633AD2">
      <w:pPr>
        <w:spacing w:after="0"/>
        <w:ind w:left="567" w:hanging="567"/>
        <w:rPr>
          <w:rFonts w:ascii="Arial" w:hAnsi="Arial" w:cs="Arial"/>
          <w:b/>
          <w:sz w:val="20"/>
          <w:szCs w:val="20"/>
        </w:rPr>
      </w:pPr>
    </w:p>
    <w:p w:rsidR="00790E99" w:rsidRPr="00212D49" w:rsidRDefault="00790E99" w:rsidP="00633AD2">
      <w:pPr>
        <w:spacing w:after="0"/>
        <w:ind w:left="567"/>
        <w:rPr>
          <w:rFonts w:ascii="Arial" w:hAnsi="Arial" w:cs="Arial"/>
          <w:sz w:val="20"/>
          <w:szCs w:val="20"/>
        </w:rPr>
      </w:pPr>
      <w:r w:rsidRPr="00212D49">
        <w:rPr>
          <w:rFonts w:ascii="Arial" w:hAnsi="Arial" w:cs="Arial"/>
          <w:sz w:val="20"/>
          <w:szCs w:val="20"/>
        </w:rPr>
        <w:t>SWAP receive</w:t>
      </w:r>
      <w:r w:rsidR="00497670">
        <w:rPr>
          <w:rFonts w:ascii="Arial" w:hAnsi="Arial" w:cs="Arial"/>
          <w:sz w:val="20"/>
          <w:szCs w:val="20"/>
        </w:rPr>
        <w:t>s</w:t>
      </w:r>
      <w:r w:rsidRPr="00212D49">
        <w:rPr>
          <w:rFonts w:ascii="Arial" w:hAnsi="Arial" w:cs="Arial"/>
          <w:sz w:val="20"/>
          <w:szCs w:val="20"/>
        </w:rPr>
        <w:t xml:space="preserve"> funding from SFC </w:t>
      </w:r>
      <w:r w:rsidR="003A60EC">
        <w:rPr>
          <w:rFonts w:ascii="Arial" w:hAnsi="Arial" w:cs="Arial"/>
          <w:sz w:val="20"/>
          <w:szCs w:val="20"/>
        </w:rPr>
        <w:t>for the period</w:t>
      </w:r>
      <w:r w:rsidR="003A60EC" w:rsidRPr="00212D49">
        <w:rPr>
          <w:rFonts w:ascii="Arial" w:hAnsi="Arial" w:cs="Arial"/>
          <w:sz w:val="20"/>
          <w:szCs w:val="20"/>
        </w:rPr>
        <w:t xml:space="preserve"> </w:t>
      </w:r>
      <w:r w:rsidRPr="00212D49">
        <w:rPr>
          <w:rFonts w:ascii="Arial" w:hAnsi="Arial" w:cs="Arial"/>
          <w:sz w:val="20"/>
          <w:szCs w:val="20"/>
        </w:rPr>
        <w:t>201</w:t>
      </w:r>
      <w:r w:rsidR="00497670">
        <w:rPr>
          <w:rFonts w:ascii="Arial" w:hAnsi="Arial" w:cs="Arial"/>
          <w:sz w:val="20"/>
          <w:szCs w:val="20"/>
        </w:rPr>
        <w:t>3</w:t>
      </w:r>
      <w:r w:rsidRPr="00212D49">
        <w:rPr>
          <w:rFonts w:ascii="Arial" w:hAnsi="Arial" w:cs="Arial"/>
          <w:sz w:val="20"/>
          <w:szCs w:val="20"/>
        </w:rPr>
        <w:t xml:space="preserve"> – 201</w:t>
      </w:r>
      <w:r w:rsidR="00497670">
        <w:rPr>
          <w:rFonts w:ascii="Arial" w:hAnsi="Arial" w:cs="Arial"/>
          <w:sz w:val="20"/>
          <w:szCs w:val="20"/>
        </w:rPr>
        <w:t>6</w:t>
      </w:r>
      <w:r w:rsidRPr="00212D49">
        <w:rPr>
          <w:rFonts w:ascii="Arial" w:hAnsi="Arial" w:cs="Arial"/>
          <w:sz w:val="20"/>
          <w:szCs w:val="20"/>
        </w:rPr>
        <w:t xml:space="preserve">. The purpose of the funding </w:t>
      </w:r>
      <w:r w:rsidR="003A60EC">
        <w:rPr>
          <w:rFonts w:ascii="Arial" w:hAnsi="Arial" w:cs="Arial"/>
          <w:sz w:val="20"/>
          <w:szCs w:val="20"/>
        </w:rPr>
        <w:t>is</w:t>
      </w:r>
      <w:r w:rsidR="003A60EC" w:rsidRPr="00212D49">
        <w:rPr>
          <w:rFonts w:ascii="Arial" w:hAnsi="Arial" w:cs="Arial"/>
          <w:sz w:val="20"/>
          <w:szCs w:val="20"/>
        </w:rPr>
        <w:t xml:space="preserve"> </w:t>
      </w:r>
      <w:r w:rsidRPr="00212D49">
        <w:rPr>
          <w:rFonts w:ascii="Arial" w:hAnsi="Arial" w:cs="Arial"/>
          <w:sz w:val="20"/>
          <w:szCs w:val="20"/>
        </w:rPr>
        <w:t xml:space="preserve">to continue the work SWAP </w:t>
      </w:r>
      <w:r w:rsidR="003A60EC">
        <w:rPr>
          <w:rFonts w:ascii="Arial" w:hAnsi="Arial" w:cs="Arial"/>
          <w:sz w:val="20"/>
          <w:szCs w:val="20"/>
        </w:rPr>
        <w:t>is</w:t>
      </w:r>
      <w:r w:rsidR="003A60EC" w:rsidRPr="00212D49">
        <w:rPr>
          <w:rFonts w:ascii="Arial" w:hAnsi="Arial" w:cs="Arial"/>
          <w:sz w:val="20"/>
          <w:szCs w:val="20"/>
        </w:rPr>
        <w:t xml:space="preserve"> </w:t>
      </w:r>
      <w:r w:rsidRPr="00212D49">
        <w:rPr>
          <w:rFonts w:ascii="Arial" w:hAnsi="Arial" w:cs="Arial"/>
          <w:sz w:val="20"/>
          <w:szCs w:val="20"/>
        </w:rPr>
        <w:t>delivering in widening participation for adults, particularly those residing in the most disadvantaged communities in Scot</w:t>
      </w:r>
      <w:r w:rsidR="00B64085" w:rsidRPr="00212D49">
        <w:rPr>
          <w:rFonts w:ascii="Arial" w:hAnsi="Arial" w:cs="Arial"/>
          <w:sz w:val="20"/>
          <w:szCs w:val="20"/>
        </w:rPr>
        <w:t xml:space="preserve">land. The funding </w:t>
      </w:r>
      <w:r w:rsidR="003A60EC">
        <w:rPr>
          <w:rFonts w:ascii="Arial" w:hAnsi="Arial" w:cs="Arial"/>
          <w:sz w:val="20"/>
          <w:szCs w:val="20"/>
        </w:rPr>
        <w:t>is</w:t>
      </w:r>
      <w:r w:rsidR="003A60EC" w:rsidRPr="00212D49">
        <w:rPr>
          <w:rFonts w:ascii="Arial" w:hAnsi="Arial" w:cs="Arial"/>
          <w:sz w:val="20"/>
          <w:szCs w:val="20"/>
        </w:rPr>
        <w:t xml:space="preserve"> </w:t>
      </w:r>
      <w:r w:rsidR="00B64085" w:rsidRPr="00212D49">
        <w:rPr>
          <w:rFonts w:ascii="Arial" w:hAnsi="Arial" w:cs="Arial"/>
          <w:sz w:val="20"/>
          <w:szCs w:val="20"/>
        </w:rPr>
        <w:t>also</w:t>
      </w:r>
      <w:r w:rsidRPr="00212D49">
        <w:rPr>
          <w:rFonts w:ascii="Arial" w:hAnsi="Arial" w:cs="Arial"/>
          <w:sz w:val="20"/>
          <w:szCs w:val="20"/>
        </w:rPr>
        <w:t xml:space="preserve"> used to ensure a consistency of approach across Scotland in the opportunit</w:t>
      </w:r>
      <w:r w:rsidR="0038356E" w:rsidRPr="00212D49">
        <w:rPr>
          <w:rFonts w:ascii="Arial" w:hAnsi="Arial" w:cs="Arial"/>
          <w:sz w:val="20"/>
          <w:szCs w:val="20"/>
        </w:rPr>
        <w:t>i</w:t>
      </w:r>
      <w:r w:rsidRPr="00212D49">
        <w:rPr>
          <w:rFonts w:ascii="Arial" w:hAnsi="Arial" w:cs="Arial"/>
          <w:sz w:val="20"/>
          <w:szCs w:val="20"/>
        </w:rPr>
        <w:t>es provided for adult students.</w:t>
      </w:r>
    </w:p>
    <w:p w:rsidR="005260F4" w:rsidRDefault="005260F4" w:rsidP="00633AD2">
      <w:pPr>
        <w:spacing w:after="0"/>
        <w:ind w:left="567"/>
        <w:rPr>
          <w:rFonts w:ascii="Arial" w:hAnsi="Arial" w:cs="Arial"/>
          <w:sz w:val="20"/>
          <w:szCs w:val="20"/>
        </w:rPr>
      </w:pPr>
    </w:p>
    <w:p w:rsidR="008303C0" w:rsidRDefault="0038356E" w:rsidP="00633AD2">
      <w:pPr>
        <w:spacing w:after="0"/>
        <w:ind w:left="567"/>
        <w:rPr>
          <w:rFonts w:ascii="Arial" w:hAnsi="Arial" w:cs="Arial"/>
          <w:sz w:val="20"/>
          <w:szCs w:val="20"/>
        </w:rPr>
      </w:pPr>
      <w:r w:rsidRPr="00212D49">
        <w:rPr>
          <w:rFonts w:ascii="Arial" w:hAnsi="Arial" w:cs="Arial"/>
          <w:sz w:val="20"/>
          <w:szCs w:val="20"/>
        </w:rPr>
        <w:t>Th</w:t>
      </w:r>
      <w:r w:rsidR="00212D49" w:rsidRPr="00212D49">
        <w:rPr>
          <w:rFonts w:ascii="Arial" w:hAnsi="Arial" w:cs="Arial"/>
          <w:sz w:val="20"/>
          <w:szCs w:val="20"/>
        </w:rPr>
        <w:t>is</w:t>
      </w:r>
      <w:r w:rsidRPr="00212D49">
        <w:rPr>
          <w:rFonts w:ascii="Arial" w:hAnsi="Arial" w:cs="Arial"/>
          <w:sz w:val="20"/>
          <w:szCs w:val="20"/>
        </w:rPr>
        <w:t xml:space="preserve"> report advises on the success of SWAP students in the academic year </w:t>
      </w:r>
      <w:r w:rsidR="00E02D12" w:rsidRPr="00212D49">
        <w:rPr>
          <w:rFonts w:ascii="Arial" w:hAnsi="Arial" w:cs="Arial"/>
          <w:sz w:val="20"/>
          <w:szCs w:val="20"/>
        </w:rPr>
        <w:t>201</w:t>
      </w:r>
      <w:r w:rsidR="00497670">
        <w:rPr>
          <w:rFonts w:ascii="Arial" w:hAnsi="Arial" w:cs="Arial"/>
          <w:sz w:val="20"/>
          <w:szCs w:val="20"/>
        </w:rPr>
        <w:t>3</w:t>
      </w:r>
      <w:r w:rsidR="00E02D12" w:rsidRPr="00212D49">
        <w:rPr>
          <w:rFonts w:ascii="Arial" w:hAnsi="Arial" w:cs="Arial"/>
          <w:sz w:val="20"/>
          <w:szCs w:val="20"/>
        </w:rPr>
        <w:t xml:space="preserve"> </w:t>
      </w:r>
      <w:r w:rsidRPr="00212D49">
        <w:rPr>
          <w:rFonts w:ascii="Arial" w:hAnsi="Arial" w:cs="Arial"/>
          <w:sz w:val="20"/>
          <w:szCs w:val="20"/>
        </w:rPr>
        <w:t xml:space="preserve">– </w:t>
      </w:r>
      <w:r w:rsidR="00E02D12" w:rsidRPr="00212D49">
        <w:rPr>
          <w:rFonts w:ascii="Arial" w:hAnsi="Arial" w:cs="Arial"/>
          <w:sz w:val="20"/>
          <w:szCs w:val="20"/>
        </w:rPr>
        <w:t>201</w:t>
      </w:r>
      <w:r w:rsidR="00497670">
        <w:rPr>
          <w:rFonts w:ascii="Arial" w:hAnsi="Arial" w:cs="Arial"/>
          <w:sz w:val="20"/>
          <w:szCs w:val="20"/>
        </w:rPr>
        <w:t>4</w:t>
      </w:r>
      <w:r w:rsidR="008303C0">
        <w:rPr>
          <w:rFonts w:ascii="Arial" w:hAnsi="Arial" w:cs="Arial"/>
          <w:sz w:val="20"/>
          <w:szCs w:val="20"/>
        </w:rPr>
        <w:t>.</w:t>
      </w:r>
    </w:p>
    <w:p w:rsidR="0070669E" w:rsidRDefault="00E02D12" w:rsidP="00633AD2">
      <w:pPr>
        <w:spacing w:after="0"/>
        <w:ind w:left="567"/>
        <w:rPr>
          <w:rFonts w:ascii="Arial" w:hAnsi="Arial" w:cs="Arial"/>
          <w:sz w:val="20"/>
          <w:szCs w:val="20"/>
        </w:rPr>
      </w:pPr>
      <w:r w:rsidRPr="00212D49">
        <w:rPr>
          <w:rFonts w:ascii="Arial" w:hAnsi="Arial" w:cs="Arial"/>
          <w:sz w:val="20"/>
          <w:szCs w:val="20"/>
        </w:rPr>
        <w:t xml:space="preserve"> </w:t>
      </w:r>
    </w:p>
    <w:p w:rsidR="00790E99" w:rsidRPr="00212D49" w:rsidRDefault="0070669E" w:rsidP="00633AD2">
      <w:pPr>
        <w:spacing w:after="0"/>
        <w:ind w:left="567"/>
        <w:rPr>
          <w:rFonts w:ascii="Arial" w:hAnsi="Arial" w:cs="Arial"/>
          <w:sz w:val="20"/>
          <w:szCs w:val="20"/>
        </w:rPr>
      </w:pPr>
      <w:r>
        <w:rPr>
          <w:rFonts w:ascii="Arial" w:hAnsi="Arial" w:cs="Arial"/>
          <w:sz w:val="20"/>
          <w:szCs w:val="20"/>
        </w:rPr>
        <w:t>A financial report for 201</w:t>
      </w:r>
      <w:r w:rsidR="00497670">
        <w:rPr>
          <w:rFonts w:ascii="Arial" w:hAnsi="Arial" w:cs="Arial"/>
          <w:sz w:val="20"/>
          <w:szCs w:val="20"/>
        </w:rPr>
        <w:t>3</w:t>
      </w:r>
      <w:r>
        <w:rPr>
          <w:rFonts w:ascii="Arial" w:hAnsi="Arial" w:cs="Arial"/>
          <w:sz w:val="20"/>
          <w:szCs w:val="20"/>
        </w:rPr>
        <w:t xml:space="preserve"> - 201</w:t>
      </w:r>
      <w:r w:rsidR="00497670">
        <w:rPr>
          <w:rFonts w:ascii="Arial" w:hAnsi="Arial" w:cs="Arial"/>
          <w:sz w:val="20"/>
          <w:szCs w:val="20"/>
        </w:rPr>
        <w:t>4</w:t>
      </w:r>
      <w:r>
        <w:rPr>
          <w:rFonts w:ascii="Arial" w:hAnsi="Arial" w:cs="Arial"/>
          <w:sz w:val="20"/>
          <w:szCs w:val="20"/>
        </w:rPr>
        <w:t xml:space="preserve"> is contained in Appendix A</w:t>
      </w:r>
      <w:r w:rsidR="008303C0">
        <w:rPr>
          <w:rFonts w:ascii="Arial" w:hAnsi="Arial" w:cs="Arial"/>
          <w:sz w:val="20"/>
          <w:szCs w:val="20"/>
        </w:rPr>
        <w:t xml:space="preserve">  </w:t>
      </w:r>
    </w:p>
    <w:p w:rsidR="0038356E" w:rsidRDefault="0038356E" w:rsidP="00FF55A1">
      <w:pPr>
        <w:spacing w:after="0"/>
        <w:rPr>
          <w:rFonts w:ascii="Arial" w:hAnsi="Arial" w:cs="Arial"/>
          <w:b/>
          <w:sz w:val="20"/>
          <w:szCs w:val="20"/>
        </w:rPr>
      </w:pPr>
    </w:p>
    <w:p w:rsidR="00C945EC" w:rsidRDefault="00C945EC" w:rsidP="00FF55A1">
      <w:pPr>
        <w:spacing w:after="0"/>
        <w:rPr>
          <w:rFonts w:ascii="Arial" w:hAnsi="Arial" w:cs="Arial"/>
          <w:b/>
          <w:sz w:val="20"/>
          <w:szCs w:val="20"/>
        </w:rPr>
      </w:pPr>
    </w:p>
    <w:p w:rsidR="0038356E" w:rsidRDefault="00633AD2" w:rsidP="00633AD2">
      <w:pPr>
        <w:spacing w:after="0"/>
        <w:ind w:left="567" w:hanging="567"/>
        <w:rPr>
          <w:rFonts w:ascii="Arial" w:hAnsi="Arial" w:cs="Arial"/>
          <w:b/>
          <w:sz w:val="20"/>
          <w:szCs w:val="20"/>
        </w:rPr>
      </w:pPr>
      <w:r>
        <w:rPr>
          <w:rFonts w:ascii="Arial" w:hAnsi="Arial" w:cs="Arial"/>
          <w:b/>
          <w:sz w:val="20"/>
          <w:szCs w:val="20"/>
        </w:rPr>
        <w:t>2</w:t>
      </w:r>
      <w:r>
        <w:rPr>
          <w:rFonts w:ascii="Arial" w:hAnsi="Arial" w:cs="Arial"/>
          <w:b/>
          <w:sz w:val="20"/>
          <w:szCs w:val="20"/>
        </w:rPr>
        <w:tab/>
        <w:t xml:space="preserve">Targets </w:t>
      </w:r>
      <w:r w:rsidR="0038356E">
        <w:rPr>
          <w:rFonts w:ascii="Arial" w:hAnsi="Arial" w:cs="Arial"/>
          <w:b/>
          <w:sz w:val="20"/>
          <w:szCs w:val="20"/>
        </w:rPr>
        <w:t xml:space="preserve"> </w:t>
      </w:r>
    </w:p>
    <w:p w:rsidR="0038356E" w:rsidRDefault="0038356E" w:rsidP="0038356E">
      <w:pPr>
        <w:spacing w:after="0"/>
        <w:ind w:left="720"/>
        <w:rPr>
          <w:rFonts w:ascii="Arial" w:hAnsi="Arial" w:cs="Arial"/>
          <w:b/>
          <w:sz w:val="20"/>
          <w:szCs w:val="20"/>
        </w:rPr>
      </w:pPr>
    </w:p>
    <w:p w:rsidR="0038356E" w:rsidRPr="00F67312" w:rsidRDefault="0038356E" w:rsidP="00633AD2">
      <w:pPr>
        <w:spacing w:after="0"/>
        <w:ind w:left="567"/>
        <w:rPr>
          <w:rFonts w:ascii="Arial" w:hAnsi="Arial" w:cs="Arial"/>
          <w:sz w:val="20"/>
          <w:szCs w:val="20"/>
        </w:rPr>
      </w:pPr>
      <w:r w:rsidRPr="00F67312">
        <w:rPr>
          <w:rFonts w:ascii="Arial" w:hAnsi="Arial" w:cs="Arial"/>
          <w:sz w:val="20"/>
          <w:szCs w:val="20"/>
        </w:rPr>
        <w:t xml:space="preserve">These targets relate to the basket of measures that reflected the strategic over view of the </w:t>
      </w:r>
      <w:r w:rsidR="003A60EC">
        <w:rPr>
          <w:rFonts w:ascii="Arial" w:hAnsi="Arial" w:cs="Arial"/>
          <w:sz w:val="20"/>
          <w:szCs w:val="20"/>
        </w:rPr>
        <w:t>A</w:t>
      </w:r>
      <w:r w:rsidRPr="00F67312">
        <w:rPr>
          <w:rFonts w:ascii="Arial" w:hAnsi="Arial" w:cs="Arial"/>
          <w:sz w:val="20"/>
          <w:szCs w:val="20"/>
        </w:rPr>
        <w:t xml:space="preserve">ccess and </w:t>
      </w:r>
      <w:r w:rsidR="003A60EC">
        <w:rPr>
          <w:rFonts w:ascii="Arial" w:hAnsi="Arial" w:cs="Arial"/>
          <w:sz w:val="20"/>
          <w:szCs w:val="20"/>
        </w:rPr>
        <w:t>I</w:t>
      </w:r>
      <w:r w:rsidRPr="00F67312">
        <w:rPr>
          <w:rFonts w:ascii="Arial" w:hAnsi="Arial" w:cs="Arial"/>
          <w:sz w:val="20"/>
          <w:szCs w:val="20"/>
        </w:rPr>
        <w:t>nclusion Committee of SFC.</w:t>
      </w:r>
    </w:p>
    <w:p w:rsidR="0038356E" w:rsidRPr="00F67312" w:rsidRDefault="0038356E" w:rsidP="00633AD2">
      <w:pPr>
        <w:spacing w:after="0"/>
        <w:ind w:left="567"/>
        <w:rPr>
          <w:rFonts w:ascii="Arial" w:hAnsi="Arial" w:cs="Arial"/>
          <w:sz w:val="20"/>
          <w:szCs w:val="20"/>
        </w:rPr>
      </w:pPr>
    </w:p>
    <w:p w:rsidR="0038356E" w:rsidRPr="0006323B" w:rsidRDefault="0038356E" w:rsidP="00633AD2">
      <w:pPr>
        <w:spacing w:after="0"/>
        <w:ind w:left="567"/>
        <w:rPr>
          <w:rFonts w:ascii="Arial" w:hAnsi="Arial" w:cs="Arial"/>
          <w:b/>
          <w:sz w:val="20"/>
          <w:szCs w:val="20"/>
        </w:rPr>
      </w:pPr>
      <w:r w:rsidRPr="0006323B">
        <w:rPr>
          <w:rFonts w:ascii="Arial" w:hAnsi="Arial" w:cs="Arial"/>
          <w:b/>
          <w:sz w:val="20"/>
          <w:szCs w:val="20"/>
        </w:rPr>
        <w:t>Recruitment and progression</w:t>
      </w:r>
      <w:r w:rsidR="0068289A" w:rsidRPr="0006323B">
        <w:rPr>
          <w:rFonts w:ascii="Arial" w:hAnsi="Arial" w:cs="Arial"/>
          <w:b/>
          <w:sz w:val="20"/>
          <w:szCs w:val="20"/>
        </w:rPr>
        <w:t xml:space="preserve"> of </w:t>
      </w:r>
      <w:r w:rsidR="00633AD2" w:rsidRPr="0006323B">
        <w:rPr>
          <w:rFonts w:ascii="Arial" w:hAnsi="Arial" w:cs="Arial"/>
          <w:b/>
          <w:sz w:val="20"/>
          <w:szCs w:val="20"/>
        </w:rPr>
        <w:t>SWAP</w:t>
      </w:r>
      <w:r w:rsidR="0068289A" w:rsidRPr="0006323B">
        <w:rPr>
          <w:rFonts w:ascii="Arial" w:hAnsi="Arial" w:cs="Arial"/>
          <w:b/>
          <w:sz w:val="20"/>
          <w:szCs w:val="20"/>
        </w:rPr>
        <w:t xml:space="preserve"> students</w:t>
      </w:r>
      <w:r w:rsidRPr="0006323B">
        <w:rPr>
          <w:rFonts w:ascii="Arial" w:hAnsi="Arial" w:cs="Arial"/>
          <w:b/>
          <w:sz w:val="20"/>
          <w:szCs w:val="20"/>
        </w:rPr>
        <w:t>:</w:t>
      </w:r>
    </w:p>
    <w:p w:rsidR="0006323B" w:rsidRDefault="0038356E" w:rsidP="0006323B">
      <w:pPr>
        <w:spacing w:after="0"/>
        <w:ind w:left="567"/>
        <w:rPr>
          <w:rFonts w:ascii="Arial" w:hAnsi="Arial" w:cs="Arial"/>
          <w:b/>
          <w:sz w:val="20"/>
          <w:szCs w:val="20"/>
        </w:rPr>
      </w:pPr>
      <w:r>
        <w:rPr>
          <w:rFonts w:ascii="Arial" w:hAnsi="Arial" w:cs="Arial"/>
          <w:b/>
          <w:sz w:val="20"/>
          <w:szCs w:val="20"/>
        </w:rPr>
        <w:t xml:space="preserve"> </w:t>
      </w:r>
    </w:p>
    <w:p w:rsidR="00E02D12" w:rsidRPr="0006323B" w:rsidRDefault="0038356E" w:rsidP="0006323B">
      <w:pPr>
        <w:ind w:firstLine="567"/>
      </w:pPr>
      <w:r w:rsidRPr="0006323B">
        <w:t xml:space="preserve">Target: </w:t>
      </w:r>
      <w:r w:rsidR="00E02D12" w:rsidRPr="0006323B">
        <w:t xml:space="preserve"> </w:t>
      </w:r>
      <w:r w:rsidRPr="0006323B">
        <w:t xml:space="preserve">Maintain student </w:t>
      </w:r>
      <w:r w:rsidR="00497670">
        <w:t>enrolments</w:t>
      </w:r>
      <w:r w:rsidRPr="0006323B">
        <w:t xml:space="preserve"> at 1400 students</w:t>
      </w:r>
      <w:r w:rsidR="00831CEA">
        <w:t xml:space="preserve"> </w:t>
      </w:r>
    </w:p>
    <w:p w:rsidR="004F3F79" w:rsidRDefault="00497670" w:rsidP="004F3F79">
      <w:pPr>
        <w:ind w:left="567"/>
      </w:pPr>
      <w:r>
        <w:t>Numbers enrolled were 13</w:t>
      </w:r>
      <w:r w:rsidR="00FD602F">
        <w:t>39</w:t>
      </w:r>
      <w:r>
        <w:t xml:space="preserve">. </w:t>
      </w:r>
    </w:p>
    <w:p w:rsidR="00497670" w:rsidRDefault="00385274" w:rsidP="004F3F79">
      <w:pPr>
        <w:ind w:left="567"/>
      </w:pPr>
      <w:r>
        <w:t>This w</w:t>
      </w:r>
      <w:r w:rsidR="00497670">
        <w:t>as a drop from 1376</w:t>
      </w:r>
      <w:r w:rsidR="003E3BBF">
        <w:t xml:space="preserve"> in previous year</w:t>
      </w:r>
      <w:r w:rsidR="00497670">
        <w:t xml:space="preserve">. </w:t>
      </w:r>
      <w:r w:rsidR="009D47F0">
        <w:t xml:space="preserve"> </w:t>
      </w:r>
      <w:r w:rsidR="003E3BBF">
        <w:t xml:space="preserve">As we had intimated </w:t>
      </w:r>
      <w:r w:rsidR="004F3F79">
        <w:t xml:space="preserve">through the year, </w:t>
      </w:r>
      <w:r w:rsidR="003E3BBF">
        <w:t xml:space="preserve">it has been </w:t>
      </w:r>
      <w:r w:rsidR="004F3F79">
        <w:t>a volatile</w:t>
      </w:r>
      <w:r w:rsidR="003E3BBF">
        <w:t xml:space="preserve"> position over the past 2 years</w:t>
      </w:r>
      <w:r w:rsidR="009B3C8C">
        <w:t xml:space="preserve"> both in terms of provision of the programme and recruitment</w:t>
      </w:r>
      <w:r w:rsidR="003E3BBF">
        <w:t xml:space="preserve">. While the headline figure looks similar, we have seen </w:t>
      </w:r>
      <w:r w:rsidR="009B3C8C">
        <w:t xml:space="preserve">significant </w:t>
      </w:r>
      <w:r w:rsidR="003E3BBF">
        <w:t>changes with regionalisation. This has brought opportunities for growth in some areas and for rationalisation in others.</w:t>
      </w:r>
      <w:r w:rsidR="009D47F0">
        <w:t xml:space="preserve"> </w:t>
      </w:r>
      <w:r w:rsidR="009B3C8C">
        <w:t>While we will</w:t>
      </w:r>
      <w:r w:rsidR="009D47F0">
        <w:t xml:space="preserve"> dig a bit deeper in terms of regional stats</w:t>
      </w:r>
      <w:r w:rsidR="009B3C8C">
        <w:t xml:space="preserve">, </w:t>
      </w:r>
      <w:r w:rsidR="009D47F0">
        <w:t xml:space="preserve">for purposes of SWAP outcomes we still think the figure of 1400 is a proportionate one for delivery of access programmes. Next year is likely to see a figure back closer to </w:t>
      </w:r>
      <w:r w:rsidR="00C279CE">
        <w:t>1400</w:t>
      </w:r>
      <w:r w:rsidR="009D47F0">
        <w:t xml:space="preserve"> but we would stress it is likely to remain volatile for </w:t>
      </w:r>
      <w:r w:rsidR="00C279CE">
        <w:t>the next few years</w:t>
      </w:r>
      <w:r w:rsidR="009D47F0">
        <w:t xml:space="preserve">. For example the curriculum strategy in Glasgow will see changes </w:t>
      </w:r>
      <w:r w:rsidR="00A91282">
        <w:t xml:space="preserve">over a 3 year period, </w:t>
      </w:r>
      <w:r w:rsidR="009D47F0">
        <w:t xml:space="preserve">in </w:t>
      </w:r>
      <w:r w:rsidR="00A91282">
        <w:t>the</w:t>
      </w:r>
      <w:r w:rsidR="009D47F0">
        <w:t xml:space="preserve"> region with the most enrolments</w:t>
      </w:r>
      <w:r w:rsidR="00A91282">
        <w:t>.</w:t>
      </w:r>
      <w:r w:rsidR="003E3BBF">
        <w:t xml:space="preserve"> </w:t>
      </w:r>
      <w:r w:rsidR="009D47F0">
        <w:t xml:space="preserve"> </w:t>
      </w:r>
      <w:r w:rsidR="009B3C8C">
        <w:t>In terms of progression from the programmes, o</w:t>
      </w:r>
      <w:r w:rsidR="00E60444">
        <w:t>ut</w:t>
      </w:r>
      <w:r w:rsidR="009D47F0">
        <w:t xml:space="preserve">comes remained fairly stable and there is confidence these will </w:t>
      </w:r>
      <w:r w:rsidR="00A91282">
        <w:t>continue</w:t>
      </w:r>
      <w:r w:rsidR="009B3C8C">
        <w:t xml:space="preserve">. </w:t>
      </w:r>
      <w:r w:rsidR="009D47F0">
        <w:t xml:space="preserve"> </w:t>
      </w:r>
    </w:p>
    <w:p w:rsidR="009B3C8C" w:rsidRDefault="009B3C8C" w:rsidP="004F3F79">
      <w:pPr>
        <w:ind w:left="567"/>
      </w:pPr>
      <w:r>
        <w:t>The MD20 figures in terms of progression have remained stable and it is pleasing that these remain in line with enrolments. Need to look at increasing the MD20 figures again though the wider basket</w:t>
      </w:r>
      <w:r w:rsidR="00A91282">
        <w:t xml:space="preserve"> of widening participation measures</w:t>
      </w:r>
      <w:r>
        <w:t xml:space="preserve"> reflects a health</w:t>
      </w:r>
      <w:r w:rsidR="004F3F79">
        <w:t>ier</w:t>
      </w:r>
      <w:r>
        <w:t xml:space="preserve"> position.</w:t>
      </w:r>
    </w:p>
    <w:p w:rsidR="009B3C8C" w:rsidRDefault="009B3C8C" w:rsidP="009D47F0"/>
    <w:p w:rsidR="008303C0" w:rsidRDefault="008303C0" w:rsidP="00633AD2">
      <w:pPr>
        <w:spacing w:after="0"/>
        <w:ind w:left="567"/>
        <w:rPr>
          <w:rFonts w:ascii="Arial" w:hAnsi="Arial" w:cs="Arial"/>
          <w:sz w:val="20"/>
          <w:szCs w:val="20"/>
        </w:rPr>
      </w:pPr>
      <w:r>
        <w:rPr>
          <w:rFonts w:ascii="Arial" w:hAnsi="Arial" w:cs="Arial"/>
          <w:sz w:val="20"/>
          <w:szCs w:val="20"/>
        </w:rPr>
        <w:t>From th</w:t>
      </w:r>
      <w:r w:rsidR="009D47F0">
        <w:rPr>
          <w:rFonts w:ascii="Arial" w:hAnsi="Arial" w:cs="Arial"/>
          <w:sz w:val="20"/>
          <w:szCs w:val="20"/>
        </w:rPr>
        <w:t>e final number</w:t>
      </w:r>
      <w:r w:rsidR="00385274">
        <w:rPr>
          <w:rFonts w:ascii="Arial" w:hAnsi="Arial" w:cs="Arial"/>
          <w:sz w:val="20"/>
          <w:szCs w:val="20"/>
        </w:rPr>
        <w:t>,</w:t>
      </w:r>
      <w:r>
        <w:rPr>
          <w:rFonts w:ascii="Arial" w:hAnsi="Arial" w:cs="Arial"/>
          <w:sz w:val="20"/>
          <w:szCs w:val="20"/>
        </w:rPr>
        <w:t xml:space="preserve"> students progressed as follows:</w:t>
      </w:r>
    </w:p>
    <w:p w:rsidR="008303C0" w:rsidRDefault="008303C0" w:rsidP="00633AD2">
      <w:pPr>
        <w:spacing w:after="0"/>
        <w:ind w:left="567"/>
        <w:rPr>
          <w:rFonts w:ascii="Arial" w:hAnsi="Arial" w:cs="Arial"/>
          <w:sz w:val="20"/>
          <w:szCs w:val="20"/>
        </w:rPr>
      </w:pPr>
      <w:r>
        <w:rPr>
          <w:rFonts w:ascii="Arial" w:hAnsi="Arial" w:cs="Arial"/>
          <w:sz w:val="20"/>
          <w:szCs w:val="20"/>
        </w:rPr>
        <w:t xml:space="preserve">University:   </w:t>
      </w:r>
      <w:r w:rsidR="008364E7">
        <w:rPr>
          <w:rFonts w:ascii="Arial" w:hAnsi="Arial" w:cs="Arial"/>
          <w:sz w:val="20"/>
          <w:szCs w:val="20"/>
        </w:rPr>
        <w:t xml:space="preserve">                </w:t>
      </w:r>
      <w:r w:rsidR="00A15364">
        <w:rPr>
          <w:rFonts w:ascii="Arial" w:hAnsi="Arial" w:cs="Arial"/>
          <w:sz w:val="20"/>
          <w:szCs w:val="20"/>
        </w:rPr>
        <w:t>746 (</w:t>
      </w:r>
      <w:r>
        <w:rPr>
          <w:rFonts w:ascii="Arial" w:hAnsi="Arial" w:cs="Arial"/>
          <w:sz w:val="20"/>
          <w:szCs w:val="20"/>
        </w:rPr>
        <w:t>752</w:t>
      </w:r>
      <w:r w:rsidR="00A15364">
        <w:rPr>
          <w:rFonts w:ascii="Arial" w:hAnsi="Arial" w:cs="Arial"/>
          <w:sz w:val="20"/>
          <w:szCs w:val="20"/>
        </w:rPr>
        <w:t>)</w:t>
      </w:r>
    </w:p>
    <w:p w:rsidR="003551F0" w:rsidRDefault="008303C0" w:rsidP="003551F0">
      <w:pPr>
        <w:spacing w:after="0"/>
        <w:ind w:left="567"/>
        <w:rPr>
          <w:rFonts w:ascii="Arial" w:hAnsi="Arial" w:cs="Arial"/>
          <w:sz w:val="20"/>
          <w:szCs w:val="20"/>
        </w:rPr>
      </w:pPr>
      <w:r>
        <w:rPr>
          <w:rFonts w:ascii="Arial" w:hAnsi="Arial" w:cs="Arial"/>
          <w:sz w:val="20"/>
          <w:szCs w:val="20"/>
        </w:rPr>
        <w:t>HNC</w:t>
      </w:r>
      <w:r w:rsidR="00A15364">
        <w:rPr>
          <w:rFonts w:ascii="Arial" w:hAnsi="Arial" w:cs="Arial"/>
          <w:sz w:val="20"/>
          <w:szCs w:val="20"/>
        </w:rPr>
        <w:t xml:space="preserve"> / College (other)</w:t>
      </w:r>
      <w:r w:rsidR="008364E7">
        <w:rPr>
          <w:rFonts w:ascii="Arial" w:hAnsi="Arial" w:cs="Arial"/>
          <w:sz w:val="20"/>
          <w:szCs w:val="20"/>
        </w:rPr>
        <w:t xml:space="preserve"> </w:t>
      </w:r>
      <w:r w:rsidR="003551F0">
        <w:rPr>
          <w:rFonts w:ascii="Arial" w:hAnsi="Arial" w:cs="Arial"/>
          <w:sz w:val="20"/>
          <w:szCs w:val="20"/>
        </w:rPr>
        <w:t>183 (</w:t>
      </w:r>
      <w:r w:rsidR="00A15364">
        <w:rPr>
          <w:rFonts w:ascii="Arial" w:hAnsi="Arial" w:cs="Arial"/>
          <w:sz w:val="20"/>
          <w:szCs w:val="20"/>
        </w:rPr>
        <w:t>161</w:t>
      </w:r>
      <w:r w:rsidR="003551F0">
        <w:rPr>
          <w:rFonts w:ascii="Arial" w:hAnsi="Arial" w:cs="Arial"/>
          <w:sz w:val="20"/>
          <w:szCs w:val="20"/>
        </w:rPr>
        <w:t>)</w:t>
      </w:r>
    </w:p>
    <w:p w:rsidR="008364E7" w:rsidRDefault="008303C0" w:rsidP="003551F0">
      <w:pPr>
        <w:spacing w:after="0"/>
        <w:ind w:left="567"/>
        <w:rPr>
          <w:rFonts w:ascii="Arial" w:hAnsi="Arial" w:cs="Arial"/>
          <w:sz w:val="20"/>
          <w:szCs w:val="20"/>
        </w:rPr>
      </w:pPr>
      <w:r>
        <w:rPr>
          <w:rFonts w:ascii="Arial" w:hAnsi="Arial" w:cs="Arial"/>
          <w:sz w:val="20"/>
          <w:szCs w:val="20"/>
        </w:rPr>
        <w:t xml:space="preserve">Employment </w:t>
      </w:r>
      <w:r w:rsidR="008364E7">
        <w:rPr>
          <w:rFonts w:ascii="Arial" w:hAnsi="Arial" w:cs="Arial"/>
          <w:sz w:val="20"/>
          <w:szCs w:val="20"/>
        </w:rPr>
        <w:t xml:space="preserve">               </w:t>
      </w:r>
      <w:r w:rsidR="003551F0">
        <w:rPr>
          <w:rFonts w:ascii="Arial" w:hAnsi="Arial" w:cs="Arial"/>
          <w:sz w:val="20"/>
          <w:szCs w:val="20"/>
        </w:rPr>
        <w:t>22 (</w:t>
      </w:r>
      <w:r w:rsidR="00A15364">
        <w:rPr>
          <w:rFonts w:ascii="Arial" w:hAnsi="Arial" w:cs="Arial"/>
          <w:sz w:val="20"/>
          <w:szCs w:val="20"/>
        </w:rPr>
        <w:t>18</w:t>
      </w:r>
      <w:r w:rsidR="003551F0">
        <w:rPr>
          <w:rFonts w:ascii="Arial" w:hAnsi="Arial" w:cs="Arial"/>
          <w:sz w:val="20"/>
          <w:szCs w:val="20"/>
        </w:rPr>
        <w:t>)</w:t>
      </w:r>
    </w:p>
    <w:p w:rsidR="008364E7" w:rsidRDefault="008364E7" w:rsidP="008303C0">
      <w:pPr>
        <w:spacing w:after="0"/>
        <w:ind w:firstLine="567"/>
        <w:rPr>
          <w:rFonts w:ascii="Arial" w:hAnsi="Arial" w:cs="Arial"/>
          <w:sz w:val="20"/>
          <w:szCs w:val="20"/>
        </w:rPr>
      </w:pPr>
      <w:r>
        <w:rPr>
          <w:rFonts w:ascii="Arial" w:hAnsi="Arial" w:cs="Arial"/>
          <w:sz w:val="20"/>
          <w:szCs w:val="20"/>
        </w:rPr>
        <w:t xml:space="preserve">Completed (unknown) </w:t>
      </w:r>
      <w:r w:rsidR="003551F0">
        <w:rPr>
          <w:rFonts w:ascii="Arial" w:hAnsi="Arial" w:cs="Arial"/>
          <w:sz w:val="20"/>
          <w:szCs w:val="20"/>
        </w:rPr>
        <w:t>36 (</w:t>
      </w:r>
      <w:r w:rsidR="00A15364">
        <w:rPr>
          <w:rFonts w:ascii="Arial" w:hAnsi="Arial" w:cs="Arial"/>
          <w:sz w:val="20"/>
          <w:szCs w:val="20"/>
        </w:rPr>
        <w:t>27</w:t>
      </w:r>
      <w:r w:rsidR="003551F0">
        <w:rPr>
          <w:rFonts w:ascii="Arial" w:hAnsi="Arial" w:cs="Arial"/>
          <w:sz w:val="20"/>
          <w:szCs w:val="20"/>
        </w:rPr>
        <w:t>)</w:t>
      </w:r>
      <w:r>
        <w:rPr>
          <w:rFonts w:ascii="Arial" w:hAnsi="Arial" w:cs="Arial"/>
          <w:sz w:val="20"/>
          <w:szCs w:val="20"/>
        </w:rPr>
        <w:t xml:space="preserve"> </w:t>
      </w:r>
    </w:p>
    <w:p w:rsidR="008364E7" w:rsidRDefault="008364E7" w:rsidP="008303C0">
      <w:pPr>
        <w:spacing w:after="0"/>
        <w:ind w:firstLine="567"/>
        <w:rPr>
          <w:rFonts w:ascii="Arial" w:hAnsi="Arial" w:cs="Arial"/>
          <w:sz w:val="20"/>
          <w:szCs w:val="20"/>
        </w:rPr>
      </w:pPr>
      <w:r>
        <w:rPr>
          <w:rFonts w:ascii="Arial" w:hAnsi="Arial" w:cs="Arial"/>
          <w:sz w:val="20"/>
          <w:szCs w:val="20"/>
        </w:rPr>
        <w:t xml:space="preserve">Total                       </w:t>
      </w:r>
      <w:r w:rsidR="00A15364">
        <w:rPr>
          <w:rFonts w:ascii="Arial" w:hAnsi="Arial" w:cs="Arial"/>
          <w:sz w:val="20"/>
          <w:szCs w:val="20"/>
        </w:rPr>
        <w:t xml:space="preserve">     </w:t>
      </w:r>
      <w:r w:rsidR="003551F0">
        <w:rPr>
          <w:rFonts w:ascii="Arial" w:hAnsi="Arial" w:cs="Arial"/>
          <w:sz w:val="20"/>
          <w:szCs w:val="20"/>
        </w:rPr>
        <w:t>987 (</w:t>
      </w:r>
      <w:r w:rsidR="00A15364">
        <w:rPr>
          <w:rFonts w:ascii="Arial" w:hAnsi="Arial" w:cs="Arial"/>
          <w:sz w:val="20"/>
          <w:szCs w:val="20"/>
        </w:rPr>
        <w:t>952</w:t>
      </w:r>
      <w:r w:rsidR="003551F0">
        <w:rPr>
          <w:rFonts w:ascii="Arial" w:hAnsi="Arial" w:cs="Arial"/>
          <w:sz w:val="20"/>
          <w:szCs w:val="20"/>
        </w:rPr>
        <w:t>) 74%</w:t>
      </w:r>
      <w:r w:rsidR="00A15364">
        <w:rPr>
          <w:rFonts w:ascii="Arial" w:hAnsi="Arial" w:cs="Arial"/>
          <w:sz w:val="20"/>
          <w:szCs w:val="20"/>
        </w:rPr>
        <w:t xml:space="preserve"> (72%)</w:t>
      </w:r>
    </w:p>
    <w:p w:rsidR="008364E7" w:rsidRDefault="008364E7" w:rsidP="008303C0">
      <w:pPr>
        <w:spacing w:after="0"/>
        <w:ind w:firstLine="567"/>
        <w:rPr>
          <w:rFonts w:ascii="Arial" w:hAnsi="Arial" w:cs="Arial"/>
          <w:sz w:val="20"/>
          <w:szCs w:val="20"/>
        </w:rPr>
      </w:pPr>
    </w:p>
    <w:p w:rsidR="00E02D12" w:rsidRPr="0006323B" w:rsidRDefault="00E02D12" w:rsidP="00633AD2">
      <w:pPr>
        <w:spacing w:after="0"/>
        <w:ind w:left="567"/>
        <w:rPr>
          <w:rFonts w:ascii="Arial" w:hAnsi="Arial" w:cs="Arial"/>
          <w:b/>
          <w:sz w:val="20"/>
          <w:szCs w:val="20"/>
        </w:rPr>
      </w:pPr>
      <w:r w:rsidRPr="0006323B">
        <w:rPr>
          <w:rFonts w:ascii="Arial" w:hAnsi="Arial" w:cs="Arial"/>
          <w:b/>
          <w:sz w:val="20"/>
          <w:szCs w:val="20"/>
        </w:rPr>
        <w:t xml:space="preserve">Recruitment and progression of SIMD </w:t>
      </w:r>
      <w:r w:rsidR="004F3F79">
        <w:rPr>
          <w:rFonts w:ascii="Arial" w:hAnsi="Arial" w:cs="Arial"/>
          <w:b/>
          <w:sz w:val="20"/>
          <w:szCs w:val="20"/>
        </w:rPr>
        <w:t>MD20</w:t>
      </w:r>
      <w:r w:rsidRPr="0006323B">
        <w:rPr>
          <w:rFonts w:ascii="Arial" w:hAnsi="Arial" w:cs="Arial"/>
          <w:b/>
          <w:sz w:val="20"/>
          <w:szCs w:val="20"/>
        </w:rPr>
        <w:t xml:space="preserve"> students:</w:t>
      </w:r>
    </w:p>
    <w:p w:rsidR="00E02D12" w:rsidRDefault="00E02D12" w:rsidP="00633AD2">
      <w:pPr>
        <w:spacing w:after="0"/>
        <w:ind w:left="567"/>
        <w:rPr>
          <w:rFonts w:ascii="Arial" w:hAnsi="Arial" w:cs="Arial"/>
          <w:sz w:val="20"/>
          <w:szCs w:val="20"/>
        </w:rPr>
      </w:pPr>
    </w:p>
    <w:p w:rsidR="0006323B" w:rsidRDefault="0006323B" w:rsidP="00633AD2">
      <w:pPr>
        <w:spacing w:after="0"/>
        <w:ind w:left="567"/>
        <w:rPr>
          <w:rFonts w:ascii="Arial" w:hAnsi="Arial" w:cs="Arial"/>
          <w:sz w:val="20"/>
          <w:szCs w:val="20"/>
        </w:rPr>
      </w:pPr>
      <w:r>
        <w:rPr>
          <w:rFonts w:ascii="Arial" w:hAnsi="Arial" w:cs="Arial"/>
          <w:sz w:val="20"/>
          <w:szCs w:val="20"/>
        </w:rPr>
        <w:t xml:space="preserve">Target: </w:t>
      </w:r>
      <w:r w:rsidR="003551F0">
        <w:rPr>
          <w:rFonts w:ascii="Arial" w:hAnsi="Arial" w:cs="Arial"/>
          <w:sz w:val="20"/>
          <w:szCs w:val="20"/>
        </w:rPr>
        <w:t>MD20</w:t>
      </w:r>
      <w:r w:rsidR="00831CEA">
        <w:rPr>
          <w:rFonts w:ascii="Arial" w:hAnsi="Arial" w:cs="Arial"/>
          <w:sz w:val="20"/>
          <w:szCs w:val="20"/>
        </w:rPr>
        <w:t xml:space="preserve"> enrolment </w:t>
      </w:r>
      <w:r w:rsidR="00A15364">
        <w:rPr>
          <w:rFonts w:ascii="Arial" w:hAnsi="Arial" w:cs="Arial"/>
          <w:sz w:val="20"/>
          <w:szCs w:val="20"/>
        </w:rPr>
        <w:t>at</w:t>
      </w:r>
      <w:r w:rsidR="00831CEA">
        <w:rPr>
          <w:rFonts w:ascii="Arial" w:hAnsi="Arial" w:cs="Arial"/>
          <w:sz w:val="20"/>
          <w:szCs w:val="20"/>
        </w:rPr>
        <w:t xml:space="preserve"> 490 students (35%)</w:t>
      </w:r>
      <w:r w:rsidR="00A15364">
        <w:rPr>
          <w:rFonts w:ascii="Arial" w:hAnsi="Arial" w:cs="Arial"/>
          <w:sz w:val="20"/>
          <w:szCs w:val="20"/>
        </w:rPr>
        <w:t>. Increase successful completion</w:t>
      </w:r>
      <w:r w:rsidR="005129CA">
        <w:rPr>
          <w:rFonts w:ascii="Arial" w:hAnsi="Arial" w:cs="Arial"/>
          <w:sz w:val="20"/>
          <w:szCs w:val="20"/>
        </w:rPr>
        <w:t xml:space="preserve"> to similar % as other students</w:t>
      </w:r>
      <w:r w:rsidR="00A15364">
        <w:rPr>
          <w:rFonts w:ascii="Arial" w:hAnsi="Arial" w:cs="Arial"/>
          <w:sz w:val="20"/>
          <w:szCs w:val="20"/>
        </w:rPr>
        <w:t>.</w:t>
      </w:r>
      <w:r w:rsidR="0038356E">
        <w:rPr>
          <w:rFonts w:ascii="Arial" w:hAnsi="Arial" w:cs="Arial"/>
          <w:sz w:val="20"/>
          <w:szCs w:val="20"/>
        </w:rPr>
        <w:t xml:space="preserve"> </w:t>
      </w:r>
    </w:p>
    <w:p w:rsidR="0006323B" w:rsidRDefault="0006323B" w:rsidP="00633AD2">
      <w:pPr>
        <w:spacing w:after="0"/>
        <w:ind w:left="567"/>
        <w:rPr>
          <w:rFonts w:ascii="Arial" w:hAnsi="Arial" w:cs="Arial"/>
          <w:sz w:val="20"/>
          <w:szCs w:val="20"/>
        </w:rPr>
      </w:pPr>
    </w:p>
    <w:p w:rsidR="00082321" w:rsidRDefault="008364E7" w:rsidP="008364E7">
      <w:pPr>
        <w:spacing w:after="0"/>
        <w:rPr>
          <w:rFonts w:ascii="Arial" w:hAnsi="Arial" w:cs="Arial"/>
          <w:sz w:val="20"/>
          <w:szCs w:val="20"/>
        </w:rPr>
      </w:pPr>
      <w:r>
        <w:rPr>
          <w:rFonts w:ascii="Arial" w:hAnsi="Arial" w:cs="Arial"/>
          <w:sz w:val="20"/>
          <w:szCs w:val="20"/>
        </w:rPr>
        <w:t xml:space="preserve">          2013: </w:t>
      </w:r>
      <w:r w:rsidR="009B3C8C">
        <w:rPr>
          <w:rFonts w:ascii="Arial" w:hAnsi="Arial" w:cs="Arial"/>
          <w:sz w:val="20"/>
          <w:szCs w:val="20"/>
        </w:rPr>
        <w:t>MD20</w:t>
      </w:r>
      <w:r>
        <w:rPr>
          <w:rFonts w:ascii="Arial" w:hAnsi="Arial" w:cs="Arial"/>
          <w:sz w:val="20"/>
          <w:szCs w:val="20"/>
        </w:rPr>
        <w:t xml:space="preserve"> enrolment: </w:t>
      </w:r>
      <w:r w:rsidR="00082321">
        <w:rPr>
          <w:rFonts w:ascii="Arial" w:hAnsi="Arial" w:cs="Arial"/>
          <w:sz w:val="20"/>
          <w:szCs w:val="20"/>
        </w:rPr>
        <w:t xml:space="preserve"> 469 enrolled</w:t>
      </w:r>
      <w:r w:rsidR="00CF2F33">
        <w:rPr>
          <w:rFonts w:ascii="Arial" w:hAnsi="Arial" w:cs="Arial"/>
          <w:sz w:val="20"/>
          <w:szCs w:val="20"/>
        </w:rPr>
        <w:t xml:space="preserve"> (34%)</w:t>
      </w:r>
    </w:p>
    <w:p w:rsidR="00082321" w:rsidRDefault="00082321" w:rsidP="008364E7">
      <w:pPr>
        <w:spacing w:after="0"/>
        <w:rPr>
          <w:rFonts w:ascii="Arial" w:hAnsi="Arial" w:cs="Arial"/>
          <w:sz w:val="20"/>
          <w:szCs w:val="20"/>
        </w:rPr>
      </w:pPr>
      <w:r>
        <w:rPr>
          <w:rFonts w:ascii="Arial" w:hAnsi="Arial" w:cs="Arial"/>
          <w:sz w:val="20"/>
          <w:szCs w:val="20"/>
        </w:rPr>
        <w:tab/>
        <w:t xml:space="preserve">       </w:t>
      </w:r>
      <w:r w:rsidR="009B3C8C">
        <w:rPr>
          <w:rFonts w:ascii="Arial" w:hAnsi="Arial" w:cs="Arial"/>
          <w:sz w:val="20"/>
          <w:szCs w:val="20"/>
        </w:rPr>
        <w:t>MD20</w:t>
      </w:r>
      <w:r>
        <w:rPr>
          <w:rFonts w:ascii="Arial" w:hAnsi="Arial" w:cs="Arial"/>
          <w:sz w:val="20"/>
          <w:szCs w:val="20"/>
        </w:rPr>
        <w:t xml:space="preserve"> completion: 343 completed</w:t>
      </w:r>
      <w:r w:rsidR="00905D9F">
        <w:rPr>
          <w:rFonts w:ascii="Arial" w:hAnsi="Arial" w:cs="Arial"/>
          <w:sz w:val="20"/>
          <w:szCs w:val="20"/>
        </w:rPr>
        <w:t xml:space="preserve"> ((34%).</w:t>
      </w:r>
    </w:p>
    <w:p w:rsidR="00A15364" w:rsidRDefault="00A15364" w:rsidP="008364E7">
      <w:pPr>
        <w:spacing w:after="0"/>
        <w:rPr>
          <w:rFonts w:ascii="Arial" w:hAnsi="Arial" w:cs="Arial"/>
          <w:sz w:val="20"/>
          <w:szCs w:val="20"/>
        </w:rPr>
      </w:pPr>
    </w:p>
    <w:p w:rsidR="00A15364" w:rsidRDefault="00A15364" w:rsidP="008364E7">
      <w:pPr>
        <w:spacing w:after="0"/>
        <w:rPr>
          <w:rFonts w:ascii="Arial" w:hAnsi="Arial" w:cs="Arial"/>
          <w:sz w:val="20"/>
          <w:szCs w:val="20"/>
        </w:rPr>
      </w:pPr>
      <w:r>
        <w:rPr>
          <w:rFonts w:ascii="Arial" w:hAnsi="Arial" w:cs="Arial"/>
          <w:sz w:val="20"/>
          <w:szCs w:val="20"/>
        </w:rPr>
        <w:t xml:space="preserve">          2014: </w:t>
      </w:r>
      <w:r w:rsidR="009B3C8C">
        <w:rPr>
          <w:rFonts w:ascii="Arial" w:hAnsi="Arial" w:cs="Arial"/>
          <w:sz w:val="20"/>
          <w:szCs w:val="20"/>
        </w:rPr>
        <w:t>MD20</w:t>
      </w:r>
      <w:r>
        <w:rPr>
          <w:rFonts w:ascii="Arial" w:hAnsi="Arial" w:cs="Arial"/>
          <w:sz w:val="20"/>
          <w:szCs w:val="20"/>
        </w:rPr>
        <w:t xml:space="preserve"> enrolment: </w:t>
      </w:r>
      <w:r w:rsidR="007023FA">
        <w:rPr>
          <w:rFonts w:ascii="Arial" w:hAnsi="Arial" w:cs="Arial"/>
          <w:sz w:val="20"/>
          <w:szCs w:val="20"/>
        </w:rPr>
        <w:t xml:space="preserve"> </w:t>
      </w:r>
      <w:r w:rsidR="000E5174">
        <w:rPr>
          <w:rFonts w:ascii="Arial" w:hAnsi="Arial" w:cs="Arial"/>
          <w:sz w:val="20"/>
          <w:szCs w:val="20"/>
        </w:rPr>
        <w:t>4</w:t>
      </w:r>
      <w:r w:rsidR="005129CA">
        <w:rPr>
          <w:rFonts w:ascii="Arial" w:hAnsi="Arial" w:cs="Arial"/>
          <w:sz w:val="20"/>
          <w:szCs w:val="20"/>
        </w:rPr>
        <w:t>35</w:t>
      </w:r>
      <w:r w:rsidR="000E5174">
        <w:rPr>
          <w:rFonts w:ascii="Arial" w:hAnsi="Arial" w:cs="Arial"/>
          <w:sz w:val="20"/>
          <w:szCs w:val="20"/>
        </w:rPr>
        <w:t xml:space="preserve"> enrolled (3</w:t>
      </w:r>
      <w:r w:rsidR="005129CA">
        <w:rPr>
          <w:rFonts w:ascii="Arial" w:hAnsi="Arial" w:cs="Arial"/>
          <w:sz w:val="20"/>
          <w:szCs w:val="20"/>
        </w:rPr>
        <w:t>3</w:t>
      </w:r>
      <w:r w:rsidR="000E5174">
        <w:rPr>
          <w:rFonts w:ascii="Arial" w:hAnsi="Arial" w:cs="Arial"/>
          <w:sz w:val="20"/>
          <w:szCs w:val="20"/>
        </w:rPr>
        <w:t>%)</w:t>
      </w:r>
    </w:p>
    <w:p w:rsidR="00A15364" w:rsidRDefault="00A15364" w:rsidP="008364E7">
      <w:pPr>
        <w:spacing w:after="0"/>
        <w:rPr>
          <w:rFonts w:ascii="Arial" w:hAnsi="Arial" w:cs="Arial"/>
          <w:sz w:val="20"/>
          <w:szCs w:val="20"/>
        </w:rPr>
      </w:pPr>
      <w:r>
        <w:rPr>
          <w:rFonts w:ascii="Arial" w:hAnsi="Arial" w:cs="Arial"/>
          <w:sz w:val="20"/>
          <w:szCs w:val="20"/>
        </w:rPr>
        <w:tab/>
        <w:t xml:space="preserve">       </w:t>
      </w:r>
      <w:r w:rsidR="009B3C8C">
        <w:rPr>
          <w:rFonts w:ascii="Arial" w:hAnsi="Arial" w:cs="Arial"/>
          <w:sz w:val="20"/>
          <w:szCs w:val="20"/>
        </w:rPr>
        <w:t>MD20</w:t>
      </w:r>
      <w:r>
        <w:rPr>
          <w:rFonts w:ascii="Arial" w:hAnsi="Arial" w:cs="Arial"/>
          <w:sz w:val="20"/>
          <w:szCs w:val="20"/>
        </w:rPr>
        <w:t xml:space="preserve"> completion: </w:t>
      </w:r>
      <w:r w:rsidR="007A58D5">
        <w:rPr>
          <w:rFonts w:ascii="Arial" w:hAnsi="Arial" w:cs="Arial"/>
          <w:sz w:val="20"/>
          <w:szCs w:val="20"/>
        </w:rPr>
        <w:t>316</w:t>
      </w:r>
      <w:r w:rsidR="007023FA">
        <w:rPr>
          <w:rFonts w:ascii="Arial" w:hAnsi="Arial" w:cs="Arial"/>
          <w:sz w:val="20"/>
          <w:szCs w:val="20"/>
        </w:rPr>
        <w:t xml:space="preserve"> completed (</w:t>
      </w:r>
      <w:r w:rsidR="007A58D5">
        <w:rPr>
          <w:rFonts w:ascii="Arial" w:hAnsi="Arial" w:cs="Arial"/>
          <w:sz w:val="20"/>
          <w:szCs w:val="20"/>
        </w:rPr>
        <w:t>3</w:t>
      </w:r>
      <w:r w:rsidR="009B3C8C">
        <w:rPr>
          <w:rFonts w:ascii="Arial" w:hAnsi="Arial" w:cs="Arial"/>
          <w:sz w:val="20"/>
          <w:szCs w:val="20"/>
        </w:rPr>
        <w:t>3</w:t>
      </w:r>
      <w:r w:rsidR="007023FA">
        <w:rPr>
          <w:rFonts w:ascii="Arial" w:hAnsi="Arial" w:cs="Arial"/>
          <w:sz w:val="20"/>
          <w:szCs w:val="20"/>
        </w:rPr>
        <w:t>%)</w:t>
      </w:r>
      <w:r>
        <w:rPr>
          <w:rFonts w:ascii="Arial" w:hAnsi="Arial" w:cs="Arial"/>
          <w:sz w:val="20"/>
          <w:szCs w:val="20"/>
        </w:rPr>
        <w:tab/>
      </w:r>
      <w:r>
        <w:rPr>
          <w:rFonts w:ascii="Arial" w:hAnsi="Arial" w:cs="Arial"/>
          <w:sz w:val="20"/>
          <w:szCs w:val="20"/>
        </w:rPr>
        <w:tab/>
      </w:r>
    </w:p>
    <w:p w:rsidR="00082321" w:rsidRDefault="00082321" w:rsidP="008364E7">
      <w:pPr>
        <w:spacing w:after="0"/>
        <w:rPr>
          <w:rFonts w:ascii="Arial" w:hAnsi="Arial" w:cs="Arial"/>
          <w:sz w:val="20"/>
          <w:szCs w:val="20"/>
        </w:rPr>
      </w:pPr>
    </w:p>
    <w:p w:rsidR="00831CEA" w:rsidRPr="009B2659" w:rsidRDefault="007A58D5" w:rsidP="00905D9F">
      <w:pPr>
        <w:spacing w:after="0"/>
        <w:ind w:left="720"/>
        <w:rPr>
          <w:rFonts w:ascii="Arial" w:hAnsi="Arial" w:cs="Arial"/>
          <w:sz w:val="20"/>
          <w:szCs w:val="20"/>
        </w:rPr>
      </w:pPr>
      <w:r>
        <w:rPr>
          <w:rFonts w:ascii="Arial" w:hAnsi="Arial" w:cs="Arial"/>
          <w:sz w:val="20"/>
          <w:szCs w:val="20"/>
        </w:rPr>
        <w:t>While completion rates are now similar to enrolment rates</w:t>
      </w:r>
      <w:r w:rsidR="00385274">
        <w:rPr>
          <w:rFonts w:ascii="Arial" w:hAnsi="Arial" w:cs="Arial"/>
          <w:sz w:val="20"/>
          <w:szCs w:val="20"/>
        </w:rPr>
        <w:t xml:space="preserve">, there is </w:t>
      </w:r>
      <w:r>
        <w:rPr>
          <w:rFonts w:ascii="Arial" w:hAnsi="Arial" w:cs="Arial"/>
          <w:sz w:val="20"/>
          <w:szCs w:val="20"/>
        </w:rPr>
        <w:t xml:space="preserve">still a bit of work to be done here. Particularly important </w:t>
      </w:r>
      <w:r w:rsidR="00C559FA">
        <w:rPr>
          <w:rFonts w:ascii="Arial" w:hAnsi="Arial" w:cs="Arial"/>
          <w:sz w:val="20"/>
          <w:szCs w:val="20"/>
        </w:rPr>
        <w:t>where new tutors or curriculum le</w:t>
      </w:r>
      <w:r w:rsidR="009B3C8C">
        <w:rPr>
          <w:rFonts w:ascii="Arial" w:hAnsi="Arial" w:cs="Arial"/>
          <w:sz w:val="20"/>
          <w:szCs w:val="20"/>
        </w:rPr>
        <w:t>aders have joined the programme</w:t>
      </w:r>
      <w:r>
        <w:rPr>
          <w:rFonts w:ascii="Arial" w:hAnsi="Arial" w:cs="Arial"/>
          <w:sz w:val="20"/>
          <w:szCs w:val="20"/>
        </w:rPr>
        <w:t>.</w:t>
      </w:r>
      <w:r w:rsidR="00082321">
        <w:rPr>
          <w:rFonts w:ascii="Arial" w:hAnsi="Arial" w:cs="Arial"/>
          <w:sz w:val="20"/>
          <w:szCs w:val="20"/>
        </w:rPr>
        <w:tab/>
      </w:r>
      <w:r w:rsidR="0006323B">
        <w:rPr>
          <w:rFonts w:ascii="Arial" w:hAnsi="Arial" w:cs="Arial"/>
          <w:sz w:val="20"/>
          <w:szCs w:val="20"/>
        </w:rPr>
        <w:t xml:space="preserve"> </w:t>
      </w:r>
    </w:p>
    <w:p w:rsidR="00E02D12" w:rsidRPr="009B2659" w:rsidRDefault="00E02D12" w:rsidP="00633AD2">
      <w:pPr>
        <w:spacing w:after="0"/>
        <w:ind w:left="567"/>
        <w:rPr>
          <w:rFonts w:ascii="Arial" w:hAnsi="Arial" w:cs="Arial"/>
          <w:sz w:val="20"/>
          <w:szCs w:val="20"/>
        </w:rPr>
      </w:pPr>
    </w:p>
    <w:p w:rsidR="0070669E" w:rsidRDefault="007208B1" w:rsidP="00633AD2">
      <w:pPr>
        <w:spacing w:after="0"/>
        <w:ind w:left="567"/>
        <w:rPr>
          <w:rFonts w:ascii="Arial" w:hAnsi="Arial" w:cs="Arial"/>
          <w:b/>
          <w:sz w:val="20"/>
          <w:szCs w:val="20"/>
        </w:rPr>
      </w:pPr>
      <w:r>
        <w:rPr>
          <w:rFonts w:ascii="Arial" w:hAnsi="Arial" w:cs="Arial"/>
          <w:b/>
          <w:sz w:val="20"/>
          <w:szCs w:val="20"/>
        </w:rPr>
        <w:t xml:space="preserve">Other </w:t>
      </w:r>
      <w:r w:rsidR="004C1D82">
        <w:rPr>
          <w:rFonts w:ascii="Arial" w:hAnsi="Arial" w:cs="Arial"/>
          <w:b/>
          <w:sz w:val="20"/>
          <w:szCs w:val="20"/>
        </w:rPr>
        <w:t>Targets</w:t>
      </w:r>
    </w:p>
    <w:p w:rsidR="00D31518" w:rsidRDefault="00D31518" w:rsidP="00633AD2">
      <w:pPr>
        <w:spacing w:after="0"/>
        <w:ind w:left="567"/>
        <w:rPr>
          <w:rFonts w:ascii="Arial" w:hAnsi="Arial" w:cs="Arial"/>
          <w:sz w:val="20"/>
          <w:szCs w:val="20"/>
        </w:rPr>
      </w:pPr>
    </w:p>
    <w:p w:rsidR="005E6762" w:rsidRDefault="005E6762" w:rsidP="00633AD2">
      <w:pPr>
        <w:spacing w:after="0"/>
        <w:ind w:left="567"/>
        <w:rPr>
          <w:rFonts w:ascii="Arial" w:hAnsi="Arial" w:cs="Arial"/>
          <w:b/>
          <w:sz w:val="20"/>
          <w:szCs w:val="20"/>
        </w:rPr>
      </w:pPr>
      <w:r w:rsidRPr="005E6762">
        <w:rPr>
          <w:rFonts w:ascii="Arial" w:hAnsi="Arial" w:cs="Arial"/>
          <w:b/>
          <w:sz w:val="20"/>
          <w:szCs w:val="20"/>
        </w:rPr>
        <w:t>No qualifications at SCQF level 6</w:t>
      </w:r>
    </w:p>
    <w:p w:rsidR="00724440" w:rsidRPr="005E6762" w:rsidRDefault="00724440" w:rsidP="00633AD2">
      <w:pPr>
        <w:spacing w:after="0"/>
        <w:ind w:left="567"/>
        <w:rPr>
          <w:rFonts w:ascii="Arial" w:hAnsi="Arial" w:cs="Arial"/>
          <w:b/>
          <w:sz w:val="20"/>
          <w:szCs w:val="20"/>
        </w:rPr>
      </w:pPr>
      <w:r>
        <w:rPr>
          <w:rFonts w:ascii="Arial" w:hAnsi="Arial" w:cs="Arial"/>
          <w:b/>
          <w:sz w:val="20"/>
          <w:szCs w:val="20"/>
        </w:rPr>
        <w:t>Target - 1120</w:t>
      </w:r>
    </w:p>
    <w:p w:rsidR="005E6762" w:rsidRDefault="005E6762" w:rsidP="00633AD2">
      <w:pPr>
        <w:spacing w:after="0"/>
        <w:ind w:left="567"/>
        <w:rPr>
          <w:rFonts w:ascii="Arial" w:hAnsi="Arial" w:cs="Arial"/>
          <w:sz w:val="20"/>
          <w:szCs w:val="20"/>
        </w:rPr>
      </w:pPr>
      <w:r>
        <w:rPr>
          <w:rFonts w:ascii="Arial" w:hAnsi="Arial" w:cs="Arial"/>
          <w:sz w:val="20"/>
          <w:szCs w:val="20"/>
        </w:rPr>
        <w:t>201</w:t>
      </w:r>
      <w:r w:rsidR="00C559FA">
        <w:rPr>
          <w:rFonts w:ascii="Arial" w:hAnsi="Arial" w:cs="Arial"/>
          <w:sz w:val="20"/>
          <w:szCs w:val="20"/>
        </w:rPr>
        <w:t>4</w:t>
      </w:r>
      <w:r>
        <w:rPr>
          <w:rFonts w:ascii="Arial" w:hAnsi="Arial" w:cs="Arial"/>
          <w:sz w:val="20"/>
          <w:szCs w:val="20"/>
        </w:rPr>
        <w:t xml:space="preserve">: </w:t>
      </w:r>
      <w:r w:rsidR="00C559FA">
        <w:rPr>
          <w:rFonts w:ascii="Arial" w:hAnsi="Arial" w:cs="Arial"/>
          <w:sz w:val="20"/>
          <w:szCs w:val="20"/>
        </w:rPr>
        <w:t>1027 (</w:t>
      </w:r>
      <w:r>
        <w:rPr>
          <w:rFonts w:ascii="Arial" w:hAnsi="Arial" w:cs="Arial"/>
          <w:sz w:val="20"/>
          <w:szCs w:val="20"/>
        </w:rPr>
        <w:t>1035</w:t>
      </w:r>
      <w:r w:rsidR="00C559FA">
        <w:rPr>
          <w:rFonts w:ascii="Arial" w:hAnsi="Arial" w:cs="Arial"/>
          <w:sz w:val="20"/>
          <w:szCs w:val="20"/>
        </w:rPr>
        <w:t>)</w:t>
      </w:r>
      <w:r>
        <w:rPr>
          <w:rFonts w:ascii="Arial" w:hAnsi="Arial" w:cs="Arial"/>
          <w:sz w:val="20"/>
          <w:szCs w:val="20"/>
        </w:rPr>
        <w:t xml:space="preserve"> enrolled</w:t>
      </w:r>
      <w:r w:rsidR="00905D9F">
        <w:rPr>
          <w:rFonts w:ascii="Arial" w:hAnsi="Arial" w:cs="Arial"/>
          <w:sz w:val="20"/>
          <w:szCs w:val="20"/>
        </w:rPr>
        <w:t xml:space="preserve"> </w:t>
      </w:r>
      <w:r w:rsidR="00C559FA">
        <w:rPr>
          <w:rFonts w:ascii="Arial" w:hAnsi="Arial" w:cs="Arial"/>
          <w:sz w:val="20"/>
          <w:szCs w:val="20"/>
        </w:rPr>
        <w:t xml:space="preserve">77% </w:t>
      </w:r>
      <w:r w:rsidR="00905D9F">
        <w:rPr>
          <w:rFonts w:ascii="Arial" w:hAnsi="Arial" w:cs="Arial"/>
          <w:sz w:val="20"/>
          <w:szCs w:val="20"/>
        </w:rPr>
        <w:t>(75%)</w:t>
      </w:r>
      <w:r>
        <w:rPr>
          <w:rFonts w:ascii="Arial" w:hAnsi="Arial" w:cs="Arial"/>
          <w:sz w:val="20"/>
          <w:szCs w:val="20"/>
        </w:rPr>
        <w:t xml:space="preserve">, </w:t>
      </w:r>
    </w:p>
    <w:p w:rsidR="00C559FA" w:rsidRDefault="00C559FA" w:rsidP="00633AD2">
      <w:pPr>
        <w:spacing w:after="0"/>
        <w:ind w:left="567"/>
        <w:rPr>
          <w:rFonts w:ascii="Arial" w:hAnsi="Arial" w:cs="Arial"/>
          <w:sz w:val="20"/>
          <w:szCs w:val="20"/>
        </w:rPr>
      </w:pPr>
    </w:p>
    <w:p w:rsidR="005E6762" w:rsidRDefault="005E6762" w:rsidP="00633AD2">
      <w:pPr>
        <w:spacing w:after="0"/>
        <w:ind w:left="567"/>
        <w:rPr>
          <w:rFonts w:ascii="Arial" w:hAnsi="Arial" w:cs="Arial"/>
          <w:b/>
          <w:sz w:val="20"/>
          <w:szCs w:val="20"/>
        </w:rPr>
      </w:pPr>
      <w:r w:rsidRPr="002361FE">
        <w:rPr>
          <w:rFonts w:ascii="Arial" w:hAnsi="Arial" w:cs="Arial"/>
          <w:b/>
          <w:sz w:val="20"/>
          <w:szCs w:val="20"/>
        </w:rPr>
        <w:t>No family experience of HE</w:t>
      </w:r>
    </w:p>
    <w:p w:rsidR="00724440" w:rsidRPr="002361FE" w:rsidRDefault="00724440" w:rsidP="00633AD2">
      <w:pPr>
        <w:spacing w:after="0"/>
        <w:ind w:left="567"/>
        <w:rPr>
          <w:rFonts w:ascii="Arial" w:hAnsi="Arial" w:cs="Arial"/>
          <w:b/>
          <w:sz w:val="20"/>
          <w:szCs w:val="20"/>
        </w:rPr>
      </w:pPr>
      <w:r>
        <w:rPr>
          <w:rFonts w:ascii="Arial" w:hAnsi="Arial" w:cs="Arial"/>
          <w:b/>
          <w:sz w:val="20"/>
          <w:szCs w:val="20"/>
        </w:rPr>
        <w:t>Target - 770</w:t>
      </w:r>
    </w:p>
    <w:p w:rsidR="005E6762" w:rsidRDefault="005E6762" w:rsidP="00633AD2">
      <w:pPr>
        <w:spacing w:after="0"/>
        <w:ind w:left="567"/>
        <w:rPr>
          <w:rFonts w:ascii="Arial" w:hAnsi="Arial" w:cs="Arial"/>
          <w:sz w:val="20"/>
          <w:szCs w:val="20"/>
        </w:rPr>
      </w:pPr>
      <w:r>
        <w:rPr>
          <w:rFonts w:ascii="Arial" w:hAnsi="Arial" w:cs="Arial"/>
          <w:sz w:val="20"/>
          <w:szCs w:val="20"/>
        </w:rPr>
        <w:t>201</w:t>
      </w:r>
      <w:r w:rsidR="00C559FA">
        <w:rPr>
          <w:rFonts w:ascii="Arial" w:hAnsi="Arial" w:cs="Arial"/>
          <w:sz w:val="20"/>
          <w:szCs w:val="20"/>
        </w:rPr>
        <w:t>4</w:t>
      </w:r>
      <w:r>
        <w:rPr>
          <w:rFonts w:ascii="Arial" w:hAnsi="Arial" w:cs="Arial"/>
          <w:sz w:val="20"/>
          <w:szCs w:val="20"/>
        </w:rPr>
        <w:t>:</w:t>
      </w:r>
      <w:r w:rsidR="00C559FA">
        <w:rPr>
          <w:rFonts w:ascii="Arial" w:hAnsi="Arial" w:cs="Arial"/>
          <w:sz w:val="20"/>
          <w:szCs w:val="20"/>
        </w:rPr>
        <w:t xml:space="preserve"> 1039 (</w:t>
      </w:r>
      <w:r w:rsidR="002361FE">
        <w:rPr>
          <w:rFonts w:ascii="Arial" w:hAnsi="Arial" w:cs="Arial"/>
          <w:sz w:val="20"/>
          <w:szCs w:val="20"/>
        </w:rPr>
        <w:t>970</w:t>
      </w:r>
      <w:r w:rsidR="00C559FA">
        <w:rPr>
          <w:rFonts w:ascii="Arial" w:hAnsi="Arial" w:cs="Arial"/>
          <w:sz w:val="20"/>
          <w:szCs w:val="20"/>
        </w:rPr>
        <w:t>)</w:t>
      </w:r>
      <w:r w:rsidR="002361FE">
        <w:rPr>
          <w:rFonts w:ascii="Arial" w:hAnsi="Arial" w:cs="Arial"/>
          <w:sz w:val="20"/>
          <w:szCs w:val="20"/>
        </w:rPr>
        <w:t xml:space="preserve"> enrolled </w:t>
      </w:r>
    </w:p>
    <w:p w:rsidR="002361FE" w:rsidRDefault="002361FE" w:rsidP="00633AD2">
      <w:pPr>
        <w:spacing w:after="0"/>
        <w:ind w:left="567"/>
        <w:rPr>
          <w:rFonts w:ascii="Arial" w:hAnsi="Arial" w:cs="Arial"/>
          <w:sz w:val="20"/>
          <w:szCs w:val="20"/>
        </w:rPr>
      </w:pPr>
    </w:p>
    <w:p w:rsidR="002361FE" w:rsidRDefault="002361FE" w:rsidP="00633AD2">
      <w:pPr>
        <w:spacing w:after="0"/>
        <w:ind w:left="567"/>
        <w:rPr>
          <w:rFonts w:ascii="Arial" w:hAnsi="Arial" w:cs="Arial"/>
          <w:b/>
          <w:sz w:val="20"/>
          <w:szCs w:val="20"/>
        </w:rPr>
      </w:pPr>
      <w:r w:rsidRPr="002361FE">
        <w:rPr>
          <w:rFonts w:ascii="Arial" w:hAnsi="Arial" w:cs="Arial"/>
          <w:b/>
          <w:sz w:val="20"/>
          <w:szCs w:val="20"/>
        </w:rPr>
        <w:t>Disability</w:t>
      </w:r>
    </w:p>
    <w:p w:rsidR="00724440" w:rsidRPr="002361FE" w:rsidRDefault="00724440" w:rsidP="00633AD2">
      <w:pPr>
        <w:spacing w:after="0"/>
        <w:ind w:left="567"/>
        <w:rPr>
          <w:rFonts w:ascii="Arial" w:hAnsi="Arial" w:cs="Arial"/>
          <w:b/>
          <w:sz w:val="20"/>
          <w:szCs w:val="20"/>
        </w:rPr>
      </w:pPr>
      <w:r>
        <w:rPr>
          <w:rFonts w:ascii="Arial" w:hAnsi="Arial" w:cs="Arial"/>
          <w:b/>
          <w:sz w:val="20"/>
          <w:szCs w:val="20"/>
        </w:rPr>
        <w:t>Target - 168</w:t>
      </w:r>
    </w:p>
    <w:p w:rsidR="002361FE" w:rsidRDefault="002361FE" w:rsidP="004078C5">
      <w:pPr>
        <w:spacing w:after="0"/>
        <w:ind w:left="567"/>
        <w:rPr>
          <w:rFonts w:ascii="Arial" w:hAnsi="Arial" w:cs="Arial"/>
          <w:sz w:val="20"/>
          <w:szCs w:val="20"/>
        </w:rPr>
      </w:pPr>
      <w:r>
        <w:rPr>
          <w:rFonts w:ascii="Arial" w:hAnsi="Arial" w:cs="Arial"/>
          <w:sz w:val="20"/>
          <w:szCs w:val="20"/>
        </w:rPr>
        <w:t>201</w:t>
      </w:r>
      <w:r w:rsidR="004078C5">
        <w:rPr>
          <w:rFonts w:ascii="Arial" w:hAnsi="Arial" w:cs="Arial"/>
          <w:sz w:val="20"/>
          <w:szCs w:val="20"/>
        </w:rPr>
        <w:t>4</w:t>
      </w:r>
      <w:r>
        <w:rPr>
          <w:rFonts w:ascii="Arial" w:hAnsi="Arial" w:cs="Arial"/>
          <w:sz w:val="20"/>
          <w:szCs w:val="20"/>
        </w:rPr>
        <w:t xml:space="preserve">: </w:t>
      </w:r>
      <w:r w:rsidR="004078C5">
        <w:rPr>
          <w:rFonts w:ascii="Arial" w:hAnsi="Arial" w:cs="Arial"/>
          <w:sz w:val="20"/>
          <w:szCs w:val="20"/>
        </w:rPr>
        <w:t xml:space="preserve">154 </w:t>
      </w:r>
      <w:r>
        <w:rPr>
          <w:rFonts w:ascii="Arial" w:hAnsi="Arial" w:cs="Arial"/>
          <w:sz w:val="20"/>
          <w:szCs w:val="20"/>
        </w:rPr>
        <w:t>enrolled</w:t>
      </w:r>
      <w:r w:rsidR="004078C5">
        <w:rPr>
          <w:rFonts w:ascii="Arial" w:hAnsi="Arial" w:cs="Arial"/>
          <w:sz w:val="20"/>
          <w:szCs w:val="20"/>
        </w:rPr>
        <w:t xml:space="preserve">. Again for the second year </w:t>
      </w:r>
      <w:r w:rsidR="004F3F79">
        <w:rPr>
          <w:rFonts w:ascii="Arial" w:hAnsi="Arial" w:cs="Arial"/>
          <w:sz w:val="20"/>
          <w:szCs w:val="20"/>
        </w:rPr>
        <w:t xml:space="preserve">students who </w:t>
      </w:r>
      <w:r w:rsidR="004078C5">
        <w:rPr>
          <w:rFonts w:ascii="Arial" w:hAnsi="Arial" w:cs="Arial"/>
          <w:sz w:val="20"/>
          <w:szCs w:val="20"/>
        </w:rPr>
        <w:t xml:space="preserve">declared </w:t>
      </w:r>
      <w:r w:rsidR="004F3F79">
        <w:rPr>
          <w:rFonts w:ascii="Arial" w:hAnsi="Arial" w:cs="Arial"/>
          <w:sz w:val="20"/>
          <w:szCs w:val="20"/>
        </w:rPr>
        <w:t xml:space="preserve">a </w:t>
      </w:r>
      <w:r w:rsidR="004078C5">
        <w:rPr>
          <w:rFonts w:ascii="Arial" w:hAnsi="Arial" w:cs="Arial"/>
          <w:sz w:val="20"/>
          <w:szCs w:val="20"/>
        </w:rPr>
        <w:t>disability have do</w:t>
      </w:r>
      <w:r w:rsidR="009B3C8C">
        <w:rPr>
          <w:rFonts w:ascii="Arial" w:hAnsi="Arial" w:cs="Arial"/>
          <w:sz w:val="20"/>
          <w:szCs w:val="20"/>
        </w:rPr>
        <w:t>ne</w:t>
      </w:r>
      <w:r w:rsidR="004078C5">
        <w:rPr>
          <w:rFonts w:ascii="Arial" w:hAnsi="Arial" w:cs="Arial"/>
          <w:sz w:val="20"/>
          <w:szCs w:val="20"/>
        </w:rPr>
        <w:t xml:space="preserve"> better than % of other students who progressed. </w:t>
      </w:r>
      <w:r w:rsidR="00385274">
        <w:rPr>
          <w:rFonts w:ascii="Arial" w:hAnsi="Arial" w:cs="Arial"/>
          <w:sz w:val="20"/>
          <w:szCs w:val="20"/>
        </w:rPr>
        <w:t>There h</w:t>
      </w:r>
      <w:r w:rsidR="004078C5">
        <w:rPr>
          <w:rFonts w:ascii="Arial" w:hAnsi="Arial" w:cs="Arial"/>
          <w:sz w:val="20"/>
          <w:szCs w:val="20"/>
        </w:rPr>
        <w:t>as been some discussion about looking at this figure again as a number of SWAP students only become aware of their disability when they are on the programme e.g. dyslexia. S</w:t>
      </w:r>
      <w:r w:rsidR="009B3C8C">
        <w:rPr>
          <w:rFonts w:ascii="Arial" w:hAnsi="Arial" w:cs="Arial"/>
          <w:sz w:val="20"/>
          <w:szCs w:val="20"/>
        </w:rPr>
        <w:t>o</w:t>
      </w:r>
      <w:r w:rsidR="004078C5">
        <w:rPr>
          <w:rFonts w:ascii="Arial" w:hAnsi="Arial" w:cs="Arial"/>
          <w:sz w:val="20"/>
          <w:szCs w:val="20"/>
        </w:rPr>
        <w:t xml:space="preserve"> students who know early do well, can we do something with students who fin</w:t>
      </w:r>
      <w:r w:rsidR="00385274">
        <w:rPr>
          <w:rFonts w:ascii="Arial" w:hAnsi="Arial" w:cs="Arial"/>
          <w:sz w:val="20"/>
          <w:szCs w:val="20"/>
        </w:rPr>
        <w:t>d</w:t>
      </w:r>
      <w:r w:rsidR="004078C5">
        <w:rPr>
          <w:rFonts w:ascii="Arial" w:hAnsi="Arial" w:cs="Arial"/>
          <w:sz w:val="20"/>
          <w:szCs w:val="20"/>
        </w:rPr>
        <w:t xml:space="preserve"> out while on the programme?</w:t>
      </w:r>
    </w:p>
    <w:p w:rsidR="00B158A4" w:rsidRDefault="00B158A4" w:rsidP="00633AD2">
      <w:pPr>
        <w:spacing w:after="0"/>
        <w:ind w:left="567"/>
        <w:rPr>
          <w:rFonts w:ascii="Arial" w:hAnsi="Arial" w:cs="Arial"/>
          <w:sz w:val="20"/>
          <w:szCs w:val="20"/>
        </w:rPr>
      </w:pPr>
    </w:p>
    <w:p w:rsidR="00B158A4" w:rsidRPr="004078C5" w:rsidRDefault="00B158A4" w:rsidP="00633AD2">
      <w:pPr>
        <w:spacing w:after="0"/>
        <w:ind w:left="567"/>
        <w:rPr>
          <w:rFonts w:ascii="Arial" w:hAnsi="Arial" w:cs="Arial"/>
          <w:b/>
          <w:sz w:val="20"/>
          <w:szCs w:val="20"/>
        </w:rPr>
      </w:pPr>
      <w:r w:rsidRPr="004078C5">
        <w:rPr>
          <w:rFonts w:ascii="Arial" w:hAnsi="Arial" w:cs="Arial"/>
          <w:b/>
          <w:sz w:val="20"/>
          <w:szCs w:val="20"/>
        </w:rPr>
        <w:t>Gender</w:t>
      </w:r>
    </w:p>
    <w:p w:rsidR="00B158A4" w:rsidRDefault="00CA3F77" w:rsidP="00633AD2">
      <w:pPr>
        <w:spacing w:after="0"/>
        <w:ind w:left="567"/>
        <w:rPr>
          <w:rFonts w:ascii="Arial" w:hAnsi="Arial" w:cs="Arial"/>
          <w:sz w:val="20"/>
          <w:szCs w:val="20"/>
        </w:rPr>
      </w:pPr>
      <w:r>
        <w:rPr>
          <w:rFonts w:ascii="Arial" w:hAnsi="Arial" w:cs="Arial"/>
          <w:sz w:val="20"/>
          <w:szCs w:val="20"/>
        </w:rPr>
        <w:t>Target 70:30 ratio</w:t>
      </w:r>
    </w:p>
    <w:p w:rsidR="00CA3F77" w:rsidRDefault="00CA3F77" w:rsidP="00633AD2">
      <w:pPr>
        <w:spacing w:after="0"/>
        <w:ind w:left="567"/>
        <w:rPr>
          <w:rFonts w:ascii="Arial" w:hAnsi="Arial" w:cs="Arial"/>
          <w:sz w:val="20"/>
          <w:szCs w:val="20"/>
        </w:rPr>
      </w:pPr>
      <w:r>
        <w:rPr>
          <w:rFonts w:ascii="Arial" w:hAnsi="Arial" w:cs="Arial"/>
          <w:sz w:val="20"/>
          <w:szCs w:val="20"/>
        </w:rPr>
        <w:t>201</w:t>
      </w:r>
      <w:r w:rsidR="004078C5">
        <w:rPr>
          <w:rFonts w:ascii="Arial" w:hAnsi="Arial" w:cs="Arial"/>
          <w:sz w:val="20"/>
          <w:szCs w:val="20"/>
        </w:rPr>
        <w:t>4</w:t>
      </w:r>
      <w:r>
        <w:rPr>
          <w:rFonts w:ascii="Arial" w:hAnsi="Arial" w:cs="Arial"/>
          <w:sz w:val="20"/>
          <w:szCs w:val="20"/>
        </w:rPr>
        <w:t>: 72: 28</w:t>
      </w:r>
      <w:r w:rsidR="004078C5">
        <w:rPr>
          <w:rFonts w:ascii="Arial" w:hAnsi="Arial" w:cs="Arial"/>
          <w:sz w:val="20"/>
          <w:szCs w:val="20"/>
        </w:rPr>
        <w:t xml:space="preserve"> remains the same as previous year. Did see an increase in % of women SWAP candidates completing</w:t>
      </w:r>
      <w:r w:rsidR="009B3C8C">
        <w:rPr>
          <w:rFonts w:ascii="Arial" w:hAnsi="Arial" w:cs="Arial"/>
          <w:sz w:val="20"/>
          <w:szCs w:val="20"/>
        </w:rPr>
        <w:t>.</w:t>
      </w:r>
    </w:p>
    <w:p w:rsidR="005E6762" w:rsidRDefault="005E6762" w:rsidP="00633AD2">
      <w:pPr>
        <w:spacing w:after="0"/>
        <w:ind w:left="567"/>
        <w:rPr>
          <w:rFonts w:ascii="Arial" w:hAnsi="Arial" w:cs="Arial"/>
          <w:sz w:val="20"/>
          <w:szCs w:val="20"/>
        </w:rPr>
      </w:pPr>
    </w:p>
    <w:p w:rsidR="004078C5" w:rsidRDefault="004078C5" w:rsidP="00633AD2">
      <w:pPr>
        <w:spacing w:after="0"/>
        <w:ind w:left="567"/>
        <w:rPr>
          <w:rFonts w:ascii="Arial" w:hAnsi="Arial" w:cs="Arial"/>
          <w:sz w:val="20"/>
          <w:szCs w:val="20"/>
        </w:rPr>
      </w:pPr>
      <w:r>
        <w:rPr>
          <w:rFonts w:ascii="Arial" w:hAnsi="Arial" w:cs="Arial"/>
          <w:sz w:val="20"/>
          <w:szCs w:val="20"/>
        </w:rPr>
        <w:t xml:space="preserve">Ethnicity – </w:t>
      </w:r>
      <w:r w:rsidR="009B3C8C">
        <w:rPr>
          <w:rFonts w:ascii="Arial" w:hAnsi="Arial" w:cs="Arial"/>
          <w:sz w:val="20"/>
          <w:szCs w:val="20"/>
        </w:rPr>
        <w:t xml:space="preserve">as agreed </w:t>
      </w:r>
      <w:r>
        <w:rPr>
          <w:rFonts w:ascii="Arial" w:hAnsi="Arial" w:cs="Arial"/>
          <w:sz w:val="20"/>
          <w:szCs w:val="20"/>
        </w:rPr>
        <w:t>we are going to look at this across regional and ascertain % differences in ter</w:t>
      </w:r>
      <w:r w:rsidR="00C279CE">
        <w:rPr>
          <w:rFonts w:ascii="Arial" w:hAnsi="Arial" w:cs="Arial"/>
          <w:sz w:val="20"/>
          <w:szCs w:val="20"/>
        </w:rPr>
        <w:t>ms</w:t>
      </w:r>
      <w:r>
        <w:rPr>
          <w:rFonts w:ascii="Arial" w:hAnsi="Arial" w:cs="Arial"/>
          <w:sz w:val="20"/>
          <w:szCs w:val="20"/>
        </w:rPr>
        <w:t xml:space="preserve"> of the above w.p. indicators.</w:t>
      </w:r>
    </w:p>
    <w:p w:rsidR="004078C5" w:rsidRDefault="004078C5" w:rsidP="00633AD2">
      <w:pPr>
        <w:spacing w:after="0"/>
        <w:ind w:left="567"/>
        <w:rPr>
          <w:rFonts w:ascii="Arial" w:hAnsi="Arial" w:cs="Arial"/>
          <w:b/>
          <w:sz w:val="20"/>
          <w:szCs w:val="20"/>
        </w:rPr>
      </w:pPr>
    </w:p>
    <w:p w:rsidR="009B3C8C" w:rsidRDefault="009B3C8C" w:rsidP="00633AD2">
      <w:pPr>
        <w:spacing w:after="0"/>
        <w:ind w:left="567"/>
        <w:rPr>
          <w:rFonts w:ascii="Arial" w:hAnsi="Arial" w:cs="Arial"/>
          <w:b/>
          <w:sz w:val="20"/>
          <w:szCs w:val="20"/>
        </w:rPr>
      </w:pPr>
    </w:p>
    <w:p w:rsidR="009B3C8C" w:rsidRDefault="009B3C8C" w:rsidP="00633AD2">
      <w:pPr>
        <w:spacing w:after="0"/>
        <w:ind w:left="567"/>
        <w:rPr>
          <w:rFonts w:ascii="Arial" w:hAnsi="Arial" w:cs="Arial"/>
          <w:b/>
          <w:sz w:val="20"/>
          <w:szCs w:val="20"/>
        </w:rPr>
      </w:pPr>
    </w:p>
    <w:p w:rsidR="009B3C8C" w:rsidRDefault="009B3C8C" w:rsidP="00633AD2">
      <w:pPr>
        <w:spacing w:after="0"/>
        <w:ind w:left="567"/>
        <w:rPr>
          <w:rFonts w:ascii="Arial" w:hAnsi="Arial" w:cs="Arial"/>
          <w:b/>
          <w:sz w:val="20"/>
          <w:szCs w:val="20"/>
        </w:rPr>
      </w:pPr>
    </w:p>
    <w:p w:rsidR="00212D49" w:rsidRPr="000160B6" w:rsidRDefault="00295FAE" w:rsidP="000160B6">
      <w:pPr>
        <w:pStyle w:val="ListParagraph"/>
        <w:numPr>
          <w:ilvl w:val="0"/>
          <w:numId w:val="9"/>
        </w:numPr>
        <w:spacing w:after="0"/>
        <w:rPr>
          <w:rFonts w:ascii="Arial" w:hAnsi="Arial" w:cs="Arial"/>
          <w:b/>
          <w:sz w:val="20"/>
          <w:szCs w:val="20"/>
        </w:rPr>
      </w:pPr>
      <w:r w:rsidRPr="000160B6">
        <w:rPr>
          <w:rFonts w:ascii="Arial" w:hAnsi="Arial" w:cs="Arial"/>
          <w:b/>
          <w:sz w:val="20"/>
          <w:szCs w:val="20"/>
        </w:rPr>
        <w:t xml:space="preserve">Curriculum </w:t>
      </w:r>
      <w:r w:rsidR="00B158A4" w:rsidRPr="000160B6">
        <w:rPr>
          <w:rFonts w:ascii="Arial" w:hAnsi="Arial" w:cs="Arial"/>
          <w:b/>
          <w:sz w:val="20"/>
          <w:szCs w:val="20"/>
        </w:rPr>
        <w:t>I</w:t>
      </w:r>
      <w:r w:rsidR="00831CEA" w:rsidRPr="000160B6">
        <w:rPr>
          <w:rFonts w:ascii="Arial" w:hAnsi="Arial" w:cs="Arial"/>
          <w:b/>
          <w:sz w:val="20"/>
          <w:szCs w:val="20"/>
        </w:rPr>
        <w:t xml:space="preserve">ssues </w:t>
      </w:r>
    </w:p>
    <w:p w:rsidR="0068289A" w:rsidRDefault="004078C5" w:rsidP="00633AD2">
      <w:pPr>
        <w:spacing w:after="0"/>
        <w:ind w:left="567"/>
        <w:rPr>
          <w:rFonts w:ascii="Arial" w:hAnsi="Arial" w:cs="Arial"/>
          <w:sz w:val="20"/>
          <w:szCs w:val="20"/>
        </w:rPr>
      </w:pPr>
      <w:r>
        <w:rPr>
          <w:rFonts w:ascii="Arial" w:hAnsi="Arial" w:cs="Arial"/>
          <w:sz w:val="20"/>
          <w:szCs w:val="20"/>
        </w:rPr>
        <w:t>We have worked with Colleges in terms of how our curriculum framework w</w:t>
      </w:r>
      <w:r w:rsidR="009B3C8C">
        <w:rPr>
          <w:rFonts w:ascii="Arial" w:hAnsi="Arial" w:cs="Arial"/>
          <w:sz w:val="20"/>
          <w:szCs w:val="20"/>
        </w:rPr>
        <w:t>il</w:t>
      </w:r>
      <w:r>
        <w:rPr>
          <w:rFonts w:ascii="Arial" w:hAnsi="Arial" w:cs="Arial"/>
          <w:sz w:val="20"/>
          <w:szCs w:val="20"/>
        </w:rPr>
        <w:t>l work alongside new national units for Curriculum for Excellence. While some Colleges have started b</w:t>
      </w:r>
      <w:r w:rsidR="009B3C8C">
        <w:rPr>
          <w:rFonts w:ascii="Arial" w:hAnsi="Arial" w:cs="Arial"/>
          <w:sz w:val="20"/>
          <w:szCs w:val="20"/>
        </w:rPr>
        <w:t>le</w:t>
      </w:r>
      <w:r>
        <w:rPr>
          <w:rFonts w:ascii="Arial" w:hAnsi="Arial" w:cs="Arial"/>
          <w:sz w:val="20"/>
          <w:szCs w:val="20"/>
        </w:rPr>
        <w:t>nding some of the new National 5 units in to the programme, Glasgow Kelvin science have taken the opportunity to provide a full programme of CfE</w:t>
      </w:r>
      <w:r w:rsidR="00385274">
        <w:rPr>
          <w:rFonts w:ascii="Arial" w:hAnsi="Arial" w:cs="Arial"/>
          <w:sz w:val="20"/>
          <w:szCs w:val="20"/>
        </w:rPr>
        <w:t xml:space="preserve"> </w:t>
      </w:r>
      <w:r>
        <w:rPr>
          <w:rFonts w:ascii="Arial" w:hAnsi="Arial" w:cs="Arial"/>
          <w:sz w:val="20"/>
          <w:szCs w:val="20"/>
        </w:rPr>
        <w:t xml:space="preserve">units. We agreed to use this programme as a pilot and then monitor for success. The pilot will provide </w:t>
      </w:r>
      <w:r w:rsidR="004F3F79">
        <w:rPr>
          <w:rFonts w:ascii="Arial" w:hAnsi="Arial" w:cs="Arial"/>
          <w:sz w:val="20"/>
          <w:szCs w:val="20"/>
        </w:rPr>
        <w:t>feedback</w:t>
      </w:r>
      <w:r>
        <w:rPr>
          <w:rFonts w:ascii="Arial" w:hAnsi="Arial" w:cs="Arial"/>
          <w:sz w:val="20"/>
          <w:szCs w:val="20"/>
        </w:rPr>
        <w:t xml:space="preserve"> for the national frameworks for curriculum provision with a view to considering </w:t>
      </w:r>
      <w:r w:rsidR="000160B6">
        <w:rPr>
          <w:rFonts w:ascii="Arial" w:hAnsi="Arial" w:cs="Arial"/>
          <w:sz w:val="20"/>
          <w:szCs w:val="20"/>
        </w:rPr>
        <w:t>issues</w:t>
      </w:r>
      <w:r>
        <w:rPr>
          <w:rFonts w:ascii="Arial" w:hAnsi="Arial" w:cs="Arial"/>
          <w:sz w:val="20"/>
          <w:szCs w:val="20"/>
        </w:rPr>
        <w:t xml:space="preserve"> for academic years 2015 – 2017.</w:t>
      </w:r>
    </w:p>
    <w:p w:rsidR="004078C5" w:rsidRDefault="004078C5" w:rsidP="00633AD2">
      <w:pPr>
        <w:spacing w:after="0"/>
        <w:ind w:left="567"/>
        <w:rPr>
          <w:rFonts w:ascii="Arial" w:hAnsi="Arial" w:cs="Arial"/>
          <w:sz w:val="20"/>
          <w:szCs w:val="20"/>
        </w:rPr>
      </w:pPr>
    </w:p>
    <w:p w:rsidR="00CA3F77" w:rsidRDefault="000160B6" w:rsidP="00633AD2">
      <w:pPr>
        <w:spacing w:after="0"/>
        <w:ind w:left="567"/>
        <w:rPr>
          <w:rFonts w:ascii="Arial" w:hAnsi="Arial" w:cs="Arial"/>
          <w:sz w:val="20"/>
          <w:szCs w:val="20"/>
        </w:rPr>
      </w:pPr>
      <w:r>
        <w:rPr>
          <w:rFonts w:ascii="Arial" w:hAnsi="Arial" w:cs="Arial"/>
          <w:sz w:val="20"/>
          <w:szCs w:val="20"/>
        </w:rPr>
        <w:t>In respect of the volatility issues</w:t>
      </w:r>
      <w:r w:rsidR="004F3F79">
        <w:rPr>
          <w:rFonts w:ascii="Arial" w:hAnsi="Arial" w:cs="Arial"/>
          <w:sz w:val="20"/>
          <w:szCs w:val="20"/>
        </w:rPr>
        <w:t xml:space="preserve"> in recruitment</w:t>
      </w:r>
      <w:r>
        <w:rPr>
          <w:rFonts w:ascii="Arial" w:hAnsi="Arial" w:cs="Arial"/>
          <w:sz w:val="20"/>
          <w:szCs w:val="20"/>
        </w:rPr>
        <w:t xml:space="preserve"> highlighted in the earlier statistical part of the report</w:t>
      </w:r>
      <w:r w:rsidR="004078C5">
        <w:rPr>
          <w:rFonts w:ascii="Arial" w:hAnsi="Arial" w:cs="Arial"/>
          <w:sz w:val="20"/>
          <w:szCs w:val="20"/>
        </w:rPr>
        <w:t>. SWAP has worked with our College partner</w:t>
      </w:r>
      <w:r w:rsidR="00385274">
        <w:rPr>
          <w:rFonts w:ascii="Arial" w:hAnsi="Arial" w:cs="Arial"/>
          <w:sz w:val="20"/>
          <w:szCs w:val="20"/>
        </w:rPr>
        <w:t>s, to re-instate programmes in S</w:t>
      </w:r>
      <w:r w:rsidR="004078C5">
        <w:rPr>
          <w:rFonts w:ascii="Arial" w:hAnsi="Arial" w:cs="Arial"/>
          <w:sz w:val="20"/>
          <w:szCs w:val="20"/>
        </w:rPr>
        <w:t>cience at Edinburgh College, Primary Education in Kilwinning</w:t>
      </w:r>
      <w:r w:rsidR="00385274">
        <w:rPr>
          <w:rFonts w:ascii="Arial" w:hAnsi="Arial" w:cs="Arial"/>
          <w:sz w:val="20"/>
          <w:szCs w:val="20"/>
        </w:rPr>
        <w:t xml:space="preserve"> and</w:t>
      </w:r>
      <w:r w:rsidR="004078C5">
        <w:rPr>
          <w:rFonts w:ascii="Arial" w:hAnsi="Arial" w:cs="Arial"/>
          <w:sz w:val="20"/>
          <w:szCs w:val="20"/>
        </w:rPr>
        <w:t xml:space="preserve"> </w:t>
      </w:r>
      <w:r w:rsidR="00385274">
        <w:rPr>
          <w:rFonts w:ascii="Arial" w:hAnsi="Arial" w:cs="Arial"/>
          <w:sz w:val="20"/>
          <w:szCs w:val="20"/>
        </w:rPr>
        <w:t>H</w:t>
      </w:r>
      <w:r w:rsidR="004078C5">
        <w:rPr>
          <w:rFonts w:ascii="Arial" w:hAnsi="Arial" w:cs="Arial"/>
          <w:sz w:val="20"/>
          <w:szCs w:val="20"/>
        </w:rPr>
        <w:t xml:space="preserve">umanities at New College Lanarkshire and to develop new programmes in </w:t>
      </w:r>
      <w:r w:rsidR="00385274">
        <w:rPr>
          <w:rFonts w:ascii="Arial" w:hAnsi="Arial" w:cs="Arial"/>
          <w:sz w:val="20"/>
          <w:szCs w:val="20"/>
        </w:rPr>
        <w:t>Celtic</w:t>
      </w:r>
      <w:r w:rsidR="00A91282">
        <w:rPr>
          <w:rFonts w:ascii="Arial" w:hAnsi="Arial" w:cs="Arial"/>
          <w:sz w:val="20"/>
          <w:szCs w:val="20"/>
        </w:rPr>
        <w:t xml:space="preserve"> studies at Newbattle Abbey, S</w:t>
      </w:r>
      <w:r w:rsidR="004078C5">
        <w:rPr>
          <w:rFonts w:ascii="Arial" w:hAnsi="Arial" w:cs="Arial"/>
          <w:sz w:val="20"/>
          <w:szCs w:val="20"/>
        </w:rPr>
        <w:t>ci</w:t>
      </w:r>
      <w:r w:rsidR="003F1BFF">
        <w:rPr>
          <w:rFonts w:ascii="Arial" w:hAnsi="Arial" w:cs="Arial"/>
          <w:sz w:val="20"/>
          <w:szCs w:val="20"/>
        </w:rPr>
        <w:t>e</w:t>
      </w:r>
      <w:r w:rsidR="004078C5">
        <w:rPr>
          <w:rFonts w:ascii="Arial" w:hAnsi="Arial" w:cs="Arial"/>
          <w:sz w:val="20"/>
          <w:szCs w:val="20"/>
        </w:rPr>
        <w:t>nce at Glasgow Clyde (Langside) and West College Scotland</w:t>
      </w:r>
      <w:r w:rsidR="00A91282">
        <w:rPr>
          <w:rFonts w:ascii="Arial" w:hAnsi="Arial" w:cs="Arial"/>
          <w:sz w:val="20"/>
          <w:szCs w:val="20"/>
        </w:rPr>
        <w:t xml:space="preserve"> (Clydebank)</w:t>
      </w:r>
      <w:r w:rsidR="004078C5">
        <w:rPr>
          <w:rFonts w:ascii="Arial" w:hAnsi="Arial" w:cs="Arial"/>
          <w:sz w:val="20"/>
          <w:szCs w:val="20"/>
        </w:rPr>
        <w:t>. It is still antic</w:t>
      </w:r>
      <w:r w:rsidR="003F1BFF">
        <w:rPr>
          <w:rFonts w:ascii="Arial" w:hAnsi="Arial" w:cs="Arial"/>
          <w:sz w:val="20"/>
          <w:szCs w:val="20"/>
        </w:rPr>
        <w:t>i</w:t>
      </w:r>
      <w:r w:rsidR="004078C5">
        <w:rPr>
          <w:rFonts w:ascii="Arial" w:hAnsi="Arial" w:cs="Arial"/>
          <w:sz w:val="20"/>
          <w:szCs w:val="20"/>
        </w:rPr>
        <w:t>pated that there will be further rationalisation of curr</w:t>
      </w:r>
      <w:r w:rsidR="003F1BFF">
        <w:rPr>
          <w:rFonts w:ascii="Arial" w:hAnsi="Arial" w:cs="Arial"/>
          <w:sz w:val="20"/>
          <w:szCs w:val="20"/>
        </w:rPr>
        <w:t>i</w:t>
      </w:r>
      <w:r w:rsidR="004078C5">
        <w:rPr>
          <w:rFonts w:ascii="Arial" w:hAnsi="Arial" w:cs="Arial"/>
          <w:sz w:val="20"/>
          <w:szCs w:val="20"/>
        </w:rPr>
        <w:t>cu</w:t>
      </w:r>
      <w:r w:rsidR="003F1BFF">
        <w:rPr>
          <w:rFonts w:ascii="Arial" w:hAnsi="Arial" w:cs="Arial"/>
          <w:sz w:val="20"/>
          <w:szCs w:val="20"/>
        </w:rPr>
        <w:t>lu</w:t>
      </w:r>
      <w:r w:rsidR="004078C5">
        <w:rPr>
          <w:rFonts w:ascii="Arial" w:hAnsi="Arial" w:cs="Arial"/>
          <w:sz w:val="20"/>
          <w:szCs w:val="20"/>
        </w:rPr>
        <w:t xml:space="preserve">m areas and we will work with our College programmes to consider how they can be aligned in terms of regional outcome agreements.  </w:t>
      </w:r>
    </w:p>
    <w:p w:rsidR="004716F2" w:rsidRDefault="004716F2" w:rsidP="00633AD2">
      <w:pPr>
        <w:spacing w:after="0"/>
        <w:ind w:left="567"/>
        <w:rPr>
          <w:rFonts w:ascii="Arial" w:hAnsi="Arial" w:cs="Arial"/>
          <w:b/>
          <w:sz w:val="20"/>
          <w:szCs w:val="20"/>
        </w:rPr>
      </w:pPr>
    </w:p>
    <w:p w:rsidR="00831CEA" w:rsidRDefault="00831CEA" w:rsidP="00F22EE8">
      <w:pPr>
        <w:spacing w:after="0"/>
        <w:rPr>
          <w:rFonts w:ascii="Arial" w:hAnsi="Arial" w:cs="Arial"/>
          <w:b/>
          <w:sz w:val="20"/>
          <w:szCs w:val="20"/>
        </w:rPr>
      </w:pPr>
    </w:p>
    <w:p w:rsidR="008B4B6E" w:rsidRPr="00C95E1E" w:rsidRDefault="004F3F79" w:rsidP="000160B6">
      <w:pPr>
        <w:ind w:left="567"/>
        <w:rPr>
          <w:rFonts w:ascii="Arial" w:hAnsi="Arial" w:cs="Arial"/>
          <w:b/>
          <w:sz w:val="20"/>
          <w:szCs w:val="20"/>
        </w:rPr>
      </w:pPr>
      <w:r>
        <w:rPr>
          <w:rFonts w:ascii="Arial" w:hAnsi="Arial" w:cs="Arial"/>
          <w:b/>
          <w:sz w:val="20"/>
          <w:szCs w:val="20"/>
        </w:rPr>
        <w:t>4.  Working</w:t>
      </w:r>
      <w:r w:rsidR="007023FA">
        <w:rPr>
          <w:rFonts w:ascii="Arial" w:hAnsi="Arial" w:cs="Arial"/>
          <w:b/>
          <w:sz w:val="20"/>
          <w:szCs w:val="20"/>
        </w:rPr>
        <w:t xml:space="preserve"> with college regions</w:t>
      </w:r>
    </w:p>
    <w:p w:rsidR="00E2158D" w:rsidRDefault="00385274" w:rsidP="00C32E6A">
      <w:pPr>
        <w:ind w:left="567"/>
        <w:rPr>
          <w:rFonts w:ascii="Arial" w:hAnsi="Arial" w:cs="Arial"/>
          <w:sz w:val="20"/>
          <w:szCs w:val="20"/>
        </w:rPr>
      </w:pPr>
      <w:r>
        <w:rPr>
          <w:rFonts w:ascii="Arial" w:hAnsi="Arial" w:cs="Arial"/>
          <w:sz w:val="20"/>
          <w:szCs w:val="20"/>
        </w:rPr>
        <w:t>We c</w:t>
      </w:r>
      <w:r w:rsidR="002D2033">
        <w:rPr>
          <w:rFonts w:ascii="Arial" w:hAnsi="Arial" w:cs="Arial"/>
          <w:sz w:val="20"/>
          <w:szCs w:val="20"/>
        </w:rPr>
        <w:t xml:space="preserve">ontinue to work closely with the new College regions. As part of that process, SWAP completed an internal review to consider our governance, staffing levels, cost effectiveness, student and community engagement. </w:t>
      </w:r>
      <w:r w:rsidR="000405F8">
        <w:rPr>
          <w:rFonts w:ascii="Arial" w:hAnsi="Arial" w:cs="Arial"/>
          <w:sz w:val="20"/>
          <w:szCs w:val="20"/>
        </w:rPr>
        <w:t>The results of the review are being put in place this academic year.</w:t>
      </w:r>
      <w:r w:rsidR="002D2033">
        <w:rPr>
          <w:rFonts w:ascii="Arial" w:hAnsi="Arial" w:cs="Arial"/>
          <w:sz w:val="20"/>
          <w:szCs w:val="20"/>
        </w:rPr>
        <w:t xml:space="preserve"> </w:t>
      </w:r>
      <w:r w:rsidR="000160B6">
        <w:rPr>
          <w:rFonts w:ascii="Arial" w:hAnsi="Arial" w:cs="Arial"/>
          <w:sz w:val="20"/>
          <w:szCs w:val="20"/>
        </w:rPr>
        <w:t xml:space="preserve">They will see SWAP taking a more high profile role, as well as considering how we can contribute towards community engagement and develop our work utilising students. </w:t>
      </w:r>
    </w:p>
    <w:p w:rsidR="004C37C1" w:rsidRPr="00AE5E96" w:rsidRDefault="004C37C1" w:rsidP="000405F8">
      <w:pPr>
        <w:ind w:left="567" w:hanging="567"/>
        <w:rPr>
          <w:rFonts w:ascii="Arial" w:hAnsi="Arial" w:cs="Arial"/>
          <w:sz w:val="20"/>
          <w:szCs w:val="20"/>
        </w:rPr>
      </w:pPr>
    </w:p>
    <w:p w:rsidR="00F958BD" w:rsidRDefault="00F958BD">
      <w:pPr>
        <w:rPr>
          <w:rFonts w:ascii="Arial" w:hAnsi="Arial" w:cs="Arial"/>
          <w:noProof/>
          <w:sz w:val="20"/>
          <w:szCs w:val="20"/>
          <w:lang w:eastAsia="en-GB"/>
        </w:rPr>
      </w:pPr>
    </w:p>
    <w:p w:rsidR="000160B6" w:rsidRDefault="000160B6">
      <w:pPr>
        <w:rPr>
          <w:rFonts w:ascii="Arial" w:hAnsi="Arial" w:cs="Arial"/>
          <w:noProof/>
          <w:sz w:val="20"/>
          <w:szCs w:val="20"/>
          <w:lang w:eastAsia="en-GB"/>
        </w:rPr>
      </w:pPr>
    </w:p>
    <w:p w:rsidR="000160B6" w:rsidRDefault="000160B6">
      <w:pPr>
        <w:rPr>
          <w:rFonts w:ascii="Arial" w:hAnsi="Arial" w:cs="Arial"/>
          <w:noProof/>
          <w:sz w:val="20"/>
          <w:szCs w:val="20"/>
          <w:lang w:eastAsia="en-GB"/>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0160B6" w:rsidRDefault="000160B6">
      <w:pPr>
        <w:rPr>
          <w:rFonts w:ascii="Arial" w:hAnsi="Arial" w:cs="Arial"/>
          <w:sz w:val="20"/>
          <w:szCs w:val="20"/>
        </w:rPr>
      </w:pPr>
    </w:p>
    <w:p w:rsidR="004F3F79" w:rsidRDefault="004F3F79" w:rsidP="00F958BD">
      <w:pPr>
        <w:jc w:val="right"/>
        <w:rPr>
          <w:rFonts w:ascii="Arial" w:hAnsi="Arial" w:cs="Arial"/>
          <w:b/>
          <w:sz w:val="20"/>
          <w:szCs w:val="20"/>
        </w:rPr>
      </w:pPr>
    </w:p>
    <w:p w:rsidR="00F958BD" w:rsidRDefault="00F958BD" w:rsidP="004F3F79">
      <w:pPr>
        <w:rPr>
          <w:rFonts w:ascii="Arial" w:hAnsi="Arial" w:cs="Arial"/>
          <w:b/>
          <w:sz w:val="20"/>
          <w:szCs w:val="20"/>
        </w:rPr>
      </w:pPr>
      <w:r>
        <w:rPr>
          <w:rFonts w:ascii="Arial" w:hAnsi="Arial" w:cs="Arial"/>
          <w:b/>
          <w:sz w:val="20"/>
          <w:szCs w:val="20"/>
        </w:rPr>
        <w:lastRenderedPageBreak/>
        <w:t>Annex A</w:t>
      </w:r>
      <w:r w:rsidR="004F3F79">
        <w:rPr>
          <w:rFonts w:ascii="Arial" w:hAnsi="Arial" w:cs="Arial"/>
          <w:b/>
          <w:sz w:val="20"/>
          <w:szCs w:val="20"/>
        </w:rPr>
        <w:t xml:space="preserve"> – Financial Report</w:t>
      </w:r>
    </w:p>
    <w:p w:rsidR="00F958BD" w:rsidRDefault="00F958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tblGrid>
      <w:tr w:rsidR="009509AB" w:rsidRPr="00E93CF6" w:rsidTr="004B6AB4">
        <w:tc>
          <w:tcPr>
            <w:tcW w:w="4644" w:type="dxa"/>
            <w:shd w:val="clear" w:color="auto" w:fill="auto"/>
          </w:tcPr>
          <w:p w:rsidR="009509AB" w:rsidRPr="004B6AB4" w:rsidRDefault="009509AB" w:rsidP="00E93CF6">
            <w:pPr>
              <w:rPr>
                <w:b/>
              </w:rPr>
            </w:pPr>
            <w:r w:rsidRPr="004B6AB4">
              <w:rPr>
                <w:b/>
              </w:rPr>
              <w:t>Income</w:t>
            </w:r>
          </w:p>
        </w:tc>
        <w:tc>
          <w:tcPr>
            <w:tcW w:w="2835" w:type="dxa"/>
            <w:shd w:val="clear" w:color="auto" w:fill="auto"/>
          </w:tcPr>
          <w:p w:rsidR="009509AB" w:rsidRPr="00E93CF6" w:rsidRDefault="009509AB" w:rsidP="00E93CF6">
            <w:r w:rsidRPr="00E93CF6">
              <w:t>£175,000</w:t>
            </w:r>
          </w:p>
        </w:tc>
      </w:tr>
    </w:tbl>
    <w:p w:rsidR="00E965E5" w:rsidRDefault="00E96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2858"/>
      </w:tblGrid>
      <w:tr w:rsidR="003A5C85" w:rsidTr="004B6AB4">
        <w:tc>
          <w:tcPr>
            <w:tcW w:w="4621" w:type="dxa"/>
            <w:shd w:val="clear" w:color="auto" w:fill="auto"/>
          </w:tcPr>
          <w:p w:rsidR="003A5C85" w:rsidRPr="004B6AB4" w:rsidRDefault="009509AB">
            <w:pPr>
              <w:rPr>
                <w:b/>
              </w:rPr>
            </w:pPr>
            <w:bookmarkStart w:id="1" w:name="OLE_LINK1"/>
            <w:r w:rsidRPr="004B6AB4">
              <w:rPr>
                <w:b/>
              </w:rPr>
              <w:t>Expenditure</w:t>
            </w:r>
          </w:p>
        </w:tc>
        <w:tc>
          <w:tcPr>
            <w:tcW w:w="2858" w:type="dxa"/>
            <w:shd w:val="clear" w:color="auto" w:fill="auto"/>
          </w:tcPr>
          <w:p w:rsidR="003A5C85" w:rsidRPr="004B6AB4" w:rsidRDefault="003A5C85">
            <w:pPr>
              <w:rPr>
                <w:b/>
              </w:rPr>
            </w:pPr>
            <w:r w:rsidRPr="004B6AB4">
              <w:rPr>
                <w:b/>
              </w:rPr>
              <w:t>Total to</w:t>
            </w:r>
            <w:r w:rsidR="009509AB" w:rsidRPr="004B6AB4">
              <w:rPr>
                <w:b/>
              </w:rPr>
              <w:t xml:space="preserve"> Date </w:t>
            </w:r>
          </w:p>
        </w:tc>
      </w:tr>
      <w:tr w:rsidR="003A5C85" w:rsidTr="004B6AB4">
        <w:tc>
          <w:tcPr>
            <w:tcW w:w="4621" w:type="dxa"/>
            <w:shd w:val="clear" w:color="auto" w:fill="auto"/>
          </w:tcPr>
          <w:p w:rsidR="003A5C85" w:rsidRDefault="003A5C85">
            <w:r>
              <w:t>Salaries / Staff Costs</w:t>
            </w:r>
          </w:p>
        </w:tc>
        <w:tc>
          <w:tcPr>
            <w:tcW w:w="2858" w:type="dxa"/>
            <w:shd w:val="clear" w:color="auto" w:fill="auto"/>
          </w:tcPr>
          <w:p w:rsidR="003A5C85" w:rsidRDefault="00F93C73" w:rsidP="0034134B">
            <w:r>
              <w:t>151269</w:t>
            </w:r>
          </w:p>
        </w:tc>
      </w:tr>
      <w:tr w:rsidR="003A5C85" w:rsidTr="004B6AB4">
        <w:tc>
          <w:tcPr>
            <w:tcW w:w="4621" w:type="dxa"/>
            <w:shd w:val="clear" w:color="auto" w:fill="auto"/>
          </w:tcPr>
          <w:p w:rsidR="003A5C85" w:rsidRDefault="003A5C85">
            <w:r>
              <w:t>Travel</w:t>
            </w:r>
          </w:p>
        </w:tc>
        <w:tc>
          <w:tcPr>
            <w:tcW w:w="2858" w:type="dxa"/>
            <w:shd w:val="clear" w:color="auto" w:fill="auto"/>
          </w:tcPr>
          <w:p w:rsidR="003A5C85" w:rsidRDefault="00F93C73" w:rsidP="0034134B">
            <w:r>
              <w:rPr>
                <w:rFonts w:ascii="Arial" w:hAnsi="Arial" w:cs="Arial"/>
                <w:sz w:val="20"/>
                <w:szCs w:val="20"/>
                <w:lang w:eastAsia="en-GB"/>
              </w:rPr>
              <w:t>1569</w:t>
            </w:r>
          </w:p>
        </w:tc>
      </w:tr>
      <w:tr w:rsidR="003A5C85" w:rsidTr="004B6AB4">
        <w:tc>
          <w:tcPr>
            <w:tcW w:w="4621" w:type="dxa"/>
            <w:shd w:val="clear" w:color="auto" w:fill="auto"/>
          </w:tcPr>
          <w:p w:rsidR="003A5C85" w:rsidRPr="003A5C85" w:rsidRDefault="003A5C85">
            <w:r w:rsidRPr="004B6AB4">
              <w:rPr>
                <w:rFonts w:ascii="Arial" w:hAnsi="Arial" w:cs="Arial"/>
                <w:bCs/>
                <w:sz w:val="20"/>
                <w:szCs w:val="20"/>
                <w:lang w:eastAsia="en-GB"/>
              </w:rPr>
              <w:t>Email, Phone</w:t>
            </w:r>
          </w:p>
        </w:tc>
        <w:tc>
          <w:tcPr>
            <w:tcW w:w="2858" w:type="dxa"/>
            <w:shd w:val="clear" w:color="auto" w:fill="auto"/>
          </w:tcPr>
          <w:p w:rsidR="003A5C85" w:rsidRDefault="00F93C73" w:rsidP="0034134B">
            <w:r>
              <w:t>955</w:t>
            </w:r>
            <w:r w:rsidR="00E93CF6">
              <w:t xml:space="preserve"> </w:t>
            </w:r>
          </w:p>
        </w:tc>
      </w:tr>
      <w:tr w:rsidR="003A5C85" w:rsidTr="004B6AB4">
        <w:tc>
          <w:tcPr>
            <w:tcW w:w="4621" w:type="dxa"/>
            <w:shd w:val="clear" w:color="auto" w:fill="auto"/>
          </w:tcPr>
          <w:p w:rsidR="003A5C85" w:rsidRPr="003A5C85" w:rsidRDefault="003A5C85">
            <w:r w:rsidRPr="004B6AB4">
              <w:rPr>
                <w:rFonts w:ascii="Arial" w:hAnsi="Arial" w:cs="Arial"/>
                <w:bCs/>
                <w:sz w:val="20"/>
                <w:szCs w:val="20"/>
                <w:lang w:eastAsia="en-GB"/>
              </w:rPr>
              <w:t>Photocopy, Stationery, Printing</w:t>
            </w:r>
          </w:p>
        </w:tc>
        <w:tc>
          <w:tcPr>
            <w:tcW w:w="2858" w:type="dxa"/>
            <w:shd w:val="clear" w:color="auto" w:fill="auto"/>
          </w:tcPr>
          <w:p w:rsidR="003A5C85" w:rsidRDefault="00F93C73" w:rsidP="0034134B">
            <w:r>
              <w:t>4317</w:t>
            </w:r>
          </w:p>
        </w:tc>
      </w:tr>
      <w:tr w:rsidR="003A5C85" w:rsidTr="004B6AB4">
        <w:tc>
          <w:tcPr>
            <w:tcW w:w="4621" w:type="dxa"/>
            <w:shd w:val="clear" w:color="auto" w:fill="auto"/>
          </w:tcPr>
          <w:p w:rsidR="003A5C85" w:rsidRPr="00E93CF6" w:rsidRDefault="00E93CF6">
            <w:r w:rsidRPr="004B6AB4">
              <w:rPr>
                <w:rFonts w:ascii="Arial" w:hAnsi="Arial" w:cs="Arial"/>
                <w:bCs/>
                <w:sz w:val="20"/>
                <w:szCs w:val="20"/>
                <w:lang w:eastAsia="en-GB"/>
              </w:rPr>
              <w:t>Computing Equipment, Software, Development</w:t>
            </w:r>
          </w:p>
        </w:tc>
        <w:tc>
          <w:tcPr>
            <w:tcW w:w="2858" w:type="dxa"/>
            <w:shd w:val="clear" w:color="auto" w:fill="auto"/>
          </w:tcPr>
          <w:p w:rsidR="003A5C85" w:rsidRDefault="00F93C73" w:rsidP="0034134B">
            <w:r>
              <w:rPr>
                <w:rFonts w:ascii="Arial" w:hAnsi="Arial" w:cs="Arial"/>
                <w:sz w:val="20"/>
                <w:szCs w:val="20"/>
                <w:lang w:eastAsia="en-GB"/>
              </w:rPr>
              <w:t>7388</w:t>
            </w:r>
          </w:p>
        </w:tc>
      </w:tr>
      <w:tr w:rsidR="003A5C85" w:rsidTr="004B6AB4">
        <w:tc>
          <w:tcPr>
            <w:tcW w:w="4621" w:type="dxa"/>
            <w:shd w:val="clear" w:color="auto" w:fill="auto"/>
          </w:tcPr>
          <w:p w:rsidR="003A5C85" w:rsidRPr="00E93CF6" w:rsidRDefault="00E93CF6">
            <w:r w:rsidRPr="004B6AB4">
              <w:rPr>
                <w:rFonts w:ascii="Arial" w:hAnsi="Arial" w:cs="Arial"/>
                <w:bCs/>
                <w:sz w:val="20"/>
                <w:szCs w:val="20"/>
                <w:lang w:eastAsia="en-GB"/>
              </w:rPr>
              <w:t>Marketing, Promotion</w:t>
            </w:r>
          </w:p>
        </w:tc>
        <w:tc>
          <w:tcPr>
            <w:tcW w:w="2858" w:type="dxa"/>
            <w:shd w:val="clear" w:color="auto" w:fill="auto"/>
          </w:tcPr>
          <w:p w:rsidR="003A5C85" w:rsidRDefault="00F93C73" w:rsidP="0034134B">
            <w:r>
              <w:t>4104</w:t>
            </w:r>
          </w:p>
        </w:tc>
      </w:tr>
      <w:tr w:rsidR="003A5C85" w:rsidTr="004B6AB4">
        <w:tc>
          <w:tcPr>
            <w:tcW w:w="4621" w:type="dxa"/>
            <w:shd w:val="clear" w:color="auto" w:fill="auto"/>
          </w:tcPr>
          <w:p w:rsidR="003A5C85" w:rsidRDefault="00E93CF6">
            <w:r>
              <w:t>Governance</w:t>
            </w:r>
          </w:p>
        </w:tc>
        <w:tc>
          <w:tcPr>
            <w:tcW w:w="2858" w:type="dxa"/>
            <w:shd w:val="clear" w:color="auto" w:fill="auto"/>
          </w:tcPr>
          <w:p w:rsidR="003A5C85" w:rsidRDefault="00F93C73">
            <w:r>
              <w:t>1500</w:t>
            </w:r>
          </w:p>
        </w:tc>
      </w:tr>
      <w:tr w:rsidR="00E93CF6" w:rsidTr="004B6AB4">
        <w:tc>
          <w:tcPr>
            <w:tcW w:w="4621" w:type="dxa"/>
            <w:shd w:val="clear" w:color="auto" w:fill="auto"/>
          </w:tcPr>
          <w:p w:rsidR="00E93CF6" w:rsidRDefault="00E93CF6">
            <w:r>
              <w:t>Other Costs</w:t>
            </w:r>
            <w:r w:rsidR="000160B6">
              <w:t>*</w:t>
            </w:r>
          </w:p>
        </w:tc>
        <w:tc>
          <w:tcPr>
            <w:tcW w:w="2858" w:type="dxa"/>
            <w:shd w:val="clear" w:color="auto" w:fill="auto"/>
          </w:tcPr>
          <w:p w:rsidR="00E93CF6" w:rsidRDefault="00F93C73" w:rsidP="0034134B">
            <w:r>
              <w:rPr>
                <w:rFonts w:ascii="Arial" w:hAnsi="Arial" w:cs="Arial"/>
                <w:sz w:val="20"/>
                <w:szCs w:val="20"/>
                <w:lang w:eastAsia="en-GB"/>
              </w:rPr>
              <w:t>3898</w:t>
            </w:r>
          </w:p>
        </w:tc>
      </w:tr>
      <w:tr w:rsidR="00E93CF6" w:rsidTr="004B6AB4">
        <w:tc>
          <w:tcPr>
            <w:tcW w:w="4621" w:type="dxa"/>
            <w:shd w:val="clear" w:color="auto" w:fill="auto"/>
          </w:tcPr>
          <w:p w:rsidR="00E93CF6" w:rsidRPr="004B6AB4" w:rsidRDefault="00E93CF6">
            <w:pPr>
              <w:rPr>
                <w:b/>
              </w:rPr>
            </w:pPr>
            <w:r w:rsidRPr="004B6AB4">
              <w:rPr>
                <w:b/>
              </w:rPr>
              <w:t>TOTAL</w:t>
            </w:r>
          </w:p>
        </w:tc>
        <w:tc>
          <w:tcPr>
            <w:tcW w:w="2858" w:type="dxa"/>
            <w:shd w:val="clear" w:color="auto" w:fill="auto"/>
          </w:tcPr>
          <w:p w:rsidR="00E93CF6" w:rsidRPr="004B6AB4" w:rsidRDefault="00E93CF6" w:rsidP="0034134B">
            <w:pPr>
              <w:rPr>
                <w:rFonts w:ascii="Arial" w:hAnsi="Arial" w:cs="Arial"/>
                <w:b/>
                <w:sz w:val="20"/>
                <w:szCs w:val="20"/>
                <w:lang w:eastAsia="en-GB"/>
              </w:rPr>
            </w:pPr>
            <w:r w:rsidRPr="004B6AB4">
              <w:rPr>
                <w:rFonts w:ascii="Arial" w:hAnsi="Arial" w:cs="Arial"/>
                <w:b/>
                <w:sz w:val="20"/>
                <w:szCs w:val="20"/>
                <w:lang w:eastAsia="en-GB"/>
              </w:rPr>
              <w:t>£</w:t>
            </w:r>
            <w:r w:rsidR="0034134B" w:rsidRPr="004B6AB4">
              <w:rPr>
                <w:rFonts w:ascii="Arial" w:hAnsi="Arial" w:cs="Arial"/>
                <w:b/>
                <w:sz w:val="20"/>
                <w:szCs w:val="20"/>
                <w:lang w:eastAsia="en-GB"/>
              </w:rPr>
              <w:t>175,000</w:t>
            </w:r>
          </w:p>
        </w:tc>
      </w:tr>
      <w:bookmarkEnd w:id="1"/>
    </w:tbl>
    <w:p w:rsidR="00E965E5" w:rsidRDefault="00E965E5" w:rsidP="009B3C8C"/>
    <w:p w:rsidR="000160B6" w:rsidRDefault="000160B6" w:rsidP="009B3C8C">
      <w:r>
        <w:t>*other costs included figures for the SWAP conference in November 2014</w:t>
      </w:r>
    </w:p>
    <w:sectPr w:rsidR="000160B6" w:rsidSect="002D1E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BD" w:rsidRDefault="008C4FBD" w:rsidP="0021012C">
      <w:pPr>
        <w:spacing w:after="0" w:line="240" w:lineRule="auto"/>
      </w:pPr>
      <w:r>
        <w:separator/>
      </w:r>
    </w:p>
  </w:endnote>
  <w:endnote w:type="continuationSeparator" w:id="0">
    <w:p w:rsidR="008C4FBD" w:rsidRDefault="008C4FBD" w:rsidP="0021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BD" w:rsidRDefault="008C4FBD" w:rsidP="0021012C">
      <w:pPr>
        <w:spacing w:after="0" w:line="240" w:lineRule="auto"/>
      </w:pPr>
      <w:r>
        <w:separator/>
      </w:r>
    </w:p>
  </w:footnote>
  <w:footnote w:type="continuationSeparator" w:id="0">
    <w:p w:rsidR="008C4FBD" w:rsidRDefault="008C4FBD" w:rsidP="00210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D17C1"/>
    <w:multiLevelType w:val="hybridMultilevel"/>
    <w:tmpl w:val="2F2E6010"/>
    <w:lvl w:ilvl="0" w:tplc="C5A02838">
      <w:start w:val="9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3665CB"/>
    <w:multiLevelType w:val="hybridMultilevel"/>
    <w:tmpl w:val="F50ECB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21353390"/>
    <w:multiLevelType w:val="hybridMultilevel"/>
    <w:tmpl w:val="92AAF3E2"/>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
    <w:nsid w:val="35A82E03"/>
    <w:multiLevelType w:val="hybridMultilevel"/>
    <w:tmpl w:val="A51C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A16BAD"/>
    <w:multiLevelType w:val="hybridMultilevel"/>
    <w:tmpl w:val="1090D04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51A85050"/>
    <w:multiLevelType w:val="hybridMultilevel"/>
    <w:tmpl w:val="1DC0C30C"/>
    <w:lvl w:ilvl="0" w:tplc="941436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AE20F3"/>
    <w:multiLevelType w:val="hybridMultilevel"/>
    <w:tmpl w:val="8960A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317BF2"/>
    <w:multiLevelType w:val="hybridMultilevel"/>
    <w:tmpl w:val="6A105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292C19"/>
    <w:multiLevelType w:val="hybridMultilevel"/>
    <w:tmpl w:val="EFBCB194"/>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5E"/>
    <w:rsid w:val="00000B87"/>
    <w:rsid w:val="00006AEB"/>
    <w:rsid w:val="000160B6"/>
    <w:rsid w:val="000405F8"/>
    <w:rsid w:val="00045D91"/>
    <w:rsid w:val="00050DC9"/>
    <w:rsid w:val="00055E9E"/>
    <w:rsid w:val="00057E29"/>
    <w:rsid w:val="00062997"/>
    <w:rsid w:val="0006323B"/>
    <w:rsid w:val="00082321"/>
    <w:rsid w:val="0009048A"/>
    <w:rsid w:val="00093361"/>
    <w:rsid w:val="000C0BFE"/>
    <w:rsid w:val="000C41F7"/>
    <w:rsid w:val="000D12DE"/>
    <w:rsid w:val="000D555D"/>
    <w:rsid w:val="000E5174"/>
    <w:rsid w:val="00106A2D"/>
    <w:rsid w:val="001433D8"/>
    <w:rsid w:val="00144391"/>
    <w:rsid w:val="00152DAA"/>
    <w:rsid w:val="001A228E"/>
    <w:rsid w:val="001C4301"/>
    <w:rsid w:val="001E28CB"/>
    <w:rsid w:val="001F6558"/>
    <w:rsid w:val="00203B7B"/>
    <w:rsid w:val="0021012C"/>
    <w:rsid w:val="00212D49"/>
    <w:rsid w:val="002326D8"/>
    <w:rsid w:val="002361FE"/>
    <w:rsid w:val="002407C5"/>
    <w:rsid w:val="00265B5F"/>
    <w:rsid w:val="002716B0"/>
    <w:rsid w:val="00295FAE"/>
    <w:rsid w:val="002B02A8"/>
    <w:rsid w:val="002B2F17"/>
    <w:rsid w:val="002C2A4B"/>
    <w:rsid w:val="002C3C8D"/>
    <w:rsid w:val="002D1E86"/>
    <w:rsid w:val="002D2033"/>
    <w:rsid w:val="002E42A9"/>
    <w:rsid w:val="003200CB"/>
    <w:rsid w:val="0034134B"/>
    <w:rsid w:val="00347C22"/>
    <w:rsid w:val="0035010D"/>
    <w:rsid w:val="003551F0"/>
    <w:rsid w:val="00361863"/>
    <w:rsid w:val="00372CA7"/>
    <w:rsid w:val="0038356E"/>
    <w:rsid w:val="00385274"/>
    <w:rsid w:val="00390751"/>
    <w:rsid w:val="003A5C85"/>
    <w:rsid w:val="003A60EC"/>
    <w:rsid w:val="003C3C00"/>
    <w:rsid w:val="003D4378"/>
    <w:rsid w:val="003D4A42"/>
    <w:rsid w:val="003D6D91"/>
    <w:rsid w:val="003D711E"/>
    <w:rsid w:val="003E3BBF"/>
    <w:rsid w:val="003F1BFF"/>
    <w:rsid w:val="004078C5"/>
    <w:rsid w:val="0041376C"/>
    <w:rsid w:val="00454458"/>
    <w:rsid w:val="00461218"/>
    <w:rsid w:val="004701FD"/>
    <w:rsid w:val="004716F2"/>
    <w:rsid w:val="00497670"/>
    <w:rsid w:val="004B6AB4"/>
    <w:rsid w:val="004C1D82"/>
    <w:rsid w:val="004C37C1"/>
    <w:rsid w:val="004E136F"/>
    <w:rsid w:val="004F3F79"/>
    <w:rsid w:val="005129CA"/>
    <w:rsid w:val="005260F4"/>
    <w:rsid w:val="00544BAB"/>
    <w:rsid w:val="00552643"/>
    <w:rsid w:val="00564954"/>
    <w:rsid w:val="00585B14"/>
    <w:rsid w:val="00593E38"/>
    <w:rsid w:val="00595E89"/>
    <w:rsid w:val="005D6333"/>
    <w:rsid w:val="005E2651"/>
    <w:rsid w:val="005E6762"/>
    <w:rsid w:val="00607542"/>
    <w:rsid w:val="00610991"/>
    <w:rsid w:val="006271C2"/>
    <w:rsid w:val="00627731"/>
    <w:rsid w:val="00633AD2"/>
    <w:rsid w:val="006418E4"/>
    <w:rsid w:val="00657C53"/>
    <w:rsid w:val="00661F02"/>
    <w:rsid w:val="00665FA1"/>
    <w:rsid w:val="0068289A"/>
    <w:rsid w:val="006A0F0E"/>
    <w:rsid w:val="007023FA"/>
    <w:rsid w:val="00703724"/>
    <w:rsid w:val="007054A2"/>
    <w:rsid w:val="0070669E"/>
    <w:rsid w:val="00706E9B"/>
    <w:rsid w:val="0072080F"/>
    <w:rsid w:val="007208B1"/>
    <w:rsid w:val="00724440"/>
    <w:rsid w:val="00745B30"/>
    <w:rsid w:val="0075274A"/>
    <w:rsid w:val="00761050"/>
    <w:rsid w:val="00767CEE"/>
    <w:rsid w:val="00783544"/>
    <w:rsid w:val="007835C4"/>
    <w:rsid w:val="00790E99"/>
    <w:rsid w:val="007A58D5"/>
    <w:rsid w:val="007A678D"/>
    <w:rsid w:val="00801551"/>
    <w:rsid w:val="00801712"/>
    <w:rsid w:val="00821B08"/>
    <w:rsid w:val="008303C0"/>
    <w:rsid w:val="00831CEA"/>
    <w:rsid w:val="00835B42"/>
    <w:rsid w:val="008364E7"/>
    <w:rsid w:val="0084292F"/>
    <w:rsid w:val="00850115"/>
    <w:rsid w:val="008A5C9B"/>
    <w:rsid w:val="008B4B6E"/>
    <w:rsid w:val="008C1A36"/>
    <w:rsid w:val="008C4FBD"/>
    <w:rsid w:val="008D70FE"/>
    <w:rsid w:val="008E04A3"/>
    <w:rsid w:val="008E1308"/>
    <w:rsid w:val="008E485E"/>
    <w:rsid w:val="008E7536"/>
    <w:rsid w:val="008F3C31"/>
    <w:rsid w:val="00905D9F"/>
    <w:rsid w:val="009071B7"/>
    <w:rsid w:val="00930C78"/>
    <w:rsid w:val="00944AB2"/>
    <w:rsid w:val="00947A74"/>
    <w:rsid w:val="009509AB"/>
    <w:rsid w:val="00976828"/>
    <w:rsid w:val="009B2659"/>
    <w:rsid w:val="009B3C8C"/>
    <w:rsid w:val="009D01BC"/>
    <w:rsid w:val="009D47F0"/>
    <w:rsid w:val="009D5C39"/>
    <w:rsid w:val="009F3BB4"/>
    <w:rsid w:val="00A15364"/>
    <w:rsid w:val="00A347DE"/>
    <w:rsid w:val="00A35FF9"/>
    <w:rsid w:val="00A522F8"/>
    <w:rsid w:val="00A5410C"/>
    <w:rsid w:val="00A66B5D"/>
    <w:rsid w:val="00A91282"/>
    <w:rsid w:val="00AE67E2"/>
    <w:rsid w:val="00B07366"/>
    <w:rsid w:val="00B158A4"/>
    <w:rsid w:val="00B15AAA"/>
    <w:rsid w:val="00B1689D"/>
    <w:rsid w:val="00B21D1F"/>
    <w:rsid w:val="00B53F23"/>
    <w:rsid w:val="00B63429"/>
    <w:rsid w:val="00B64085"/>
    <w:rsid w:val="00BA6B3C"/>
    <w:rsid w:val="00BD286F"/>
    <w:rsid w:val="00BE70AD"/>
    <w:rsid w:val="00BF3545"/>
    <w:rsid w:val="00C00D37"/>
    <w:rsid w:val="00C10A57"/>
    <w:rsid w:val="00C279CE"/>
    <w:rsid w:val="00C30A7B"/>
    <w:rsid w:val="00C32E6A"/>
    <w:rsid w:val="00C423EC"/>
    <w:rsid w:val="00C53095"/>
    <w:rsid w:val="00C559FA"/>
    <w:rsid w:val="00C91957"/>
    <w:rsid w:val="00C945EC"/>
    <w:rsid w:val="00C95E1E"/>
    <w:rsid w:val="00CA3F77"/>
    <w:rsid w:val="00CA691C"/>
    <w:rsid w:val="00CC0257"/>
    <w:rsid w:val="00CE04E0"/>
    <w:rsid w:val="00CE6CB2"/>
    <w:rsid w:val="00CF2F33"/>
    <w:rsid w:val="00CF3190"/>
    <w:rsid w:val="00CF74BF"/>
    <w:rsid w:val="00D03ACE"/>
    <w:rsid w:val="00D05D52"/>
    <w:rsid w:val="00D15FB9"/>
    <w:rsid w:val="00D31518"/>
    <w:rsid w:val="00D3322D"/>
    <w:rsid w:val="00D86867"/>
    <w:rsid w:val="00DC7CB2"/>
    <w:rsid w:val="00DE39A2"/>
    <w:rsid w:val="00DF7C90"/>
    <w:rsid w:val="00E00E42"/>
    <w:rsid w:val="00E02D12"/>
    <w:rsid w:val="00E17743"/>
    <w:rsid w:val="00E20BD9"/>
    <w:rsid w:val="00E2158D"/>
    <w:rsid w:val="00E24E7D"/>
    <w:rsid w:val="00E501BC"/>
    <w:rsid w:val="00E60444"/>
    <w:rsid w:val="00E93CF6"/>
    <w:rsid w:val="00E965E5"/>
    <w:rsid w:val="00EA7D33"/>
    <w:rsid w:val="00EB6FD0"/>
    <w:rsid w:val="00EE59DB"/>
    <w:rsid w:val="00EE6B6C"/>
    <w:rsid w:val="00EF2CA6"/>
    <w:rsid w:val="00F222A9"/>
    <w:rsid w:val="00F22EE8"/>
    <w:rsid w:val="00F30402"/>
    <w:rsid w:val="00F67312"/>
    <w:rsid w:val="00F75601"/>
    <w:rsid w:val="00F84EE4"/>
    <w:rsid w:val="00F85390"/>
    <w:rsid w:val="00F93C73"/>
    <w:rsid w:val="00F958BD"/>
    <w:rsid w:val="00FA5525"/>
    <w:rsid w:val="00FD602F"/>
    <w:rsid w:val="00FD660D"/>
    <w:rsid w:val="00FF5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D91B6AC-9C39-4439-9862-97BEF168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86"/>
    <w:pPr>
      <w:spacing w:after="200" w:line="276" w:lineRule="auto"/>
    </w:pPr>
    <w:rPr>
      <w:sz w:val="22"/>
      <w:szCs w:val="22"/>
      <w:lang w:eastAsia="en-US"/>
    </w:rPr>
  </w:style>
  <w:style w:type="paragraph" w:styleId="Heading1">
    <w:name w:val="heading 1"/>
    <w:basedOn w:val="Normal"/>
    <w:next w:val="Normal"/>
    <w:link w:val="Heading1Char"/>
    <w:uiPriority w:val="9"/>
    <w:qFormat/>
    <w:rsid w:val="0080155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12C"/>
    <w:pPr>
      <w:tabs>
        <w:tab w:val="center" w:pos="4513"/>
        <w:tab w:val="right" w:pos="9026"/>
      </w:tabs>
    </w:pPr>
  </w:style>
  <w:style w:type="character" w:customStyle="1" w:styleId="HeaderChar">
    <w:name w:val="Header Char"/>
    <w:link w:val="Header"/>
    <w:uiPriority w:val="99"/>
    <w:rsid w:val="0021012C"/>
    <w:rPr>
      <w:sz w:val="22"/>
      <w:szCs w:val="22"/>
      <w:lang w:eastAsia="en-US"/>
    </w:rPr>
  </w:style>
  <w:style w:type="paragraph" w:styleId="Footer">
    <w:name w:val="footer"/>
    <w:basedOn w:val="Normal"/>
    <w:link w:val="FooterChar"/>
    <w:uiPriority w:val="99"/>
    <w:unhideWhenUsed/>
    <w:rsid w:val="0021012C"/>
    <w:pPr>
      <w:tabs>
        <w:tab w:val="center" w:pos="4513"/>
        <w:tab w:val="right" w:pos="9026"/>
      </w:tabs>
    </w:pPr>
  </w:style>
  <w:style w:type="character" w:customStyle="1" w:styleId="FooterChar">
    <w:name w:val="Footer Char"/>
    <w:link w:val="Footer"/>
    <w:uiPriority w:val="99"/>
    <w:rsid w:val="0021012C"/>
    <w:rPr>
      <w:sz w:val="22"/>
      <w:szCs w:val="22"/>
      <w:lang w:eastAsia="en-US"/>
    </w:rPr>
  </w:style>
  <w:style w:type="paragraph" w:styleId="BalloonText">
    <w:name w:val="Balloon Text"/>
    <w:basedOn w:val="Normal"/>
    <w:link w:val="BalloonTextChar"/>
    <w:uiPriority w:val="99"/>
    <w:semiHidden/>
    <w:unhideWhenUsed/>
    <w:rsid w:val="002101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012C"/>
    <w:rPr>
      <w:rFonts w:ascii="Tahoma" w:hAnsi="Tahoma" w:cs="Tahoma"/>
      <w:sz w:val="16"/>
      <w:szCs w:val="16"/>
      <w:lang w:eastAsia="en-US"/>
    </w:rPr>
  </w:style>
  <w:style w:type="character" w:styleId="CommentReference">
    <w:name w:val="annotation reference"/>
    <w:uiPriority w:val="99"/>
    <w:semiHidden/>
    <w:unhideWhenUsed/>
    <w:rsid w:val="006271C2"/>
    <w:rPr>
      <w:sz w:val="16"/>
      <w:szCs w:val="16"/>
    </w:rPr>
  </w:style>
  <w:style w:type="paragraph" w:styleId="CommentText">
    <w:name w:val="annotation text"/>
    <w:basedOn w:val="Normal"/>
    <w:link w:val="CommentTextChar"/>
    <w:uiPriority w:val="99"/>
    <w:semiHidden/>
    <w:unhideWhenUsed/>
    <w:rsid w:val="006271C2"/>
    <w:rPr>
      <w:sz w:val="20"/>
      <w:szCs w:val="20"/>
    </w:rPr>
  </w:style>
  <w:style w:type="character" w:customStyle="1" w:styleId="CommentTextChar">
    <w:name w:val="Comment Text Char"/>
    <w:link w:val="CommentText"/>
    <w:uiPriority w:val="99"/>
    <w:semiHidden/>
    <w:rsid w:val="006271C2"/>
    <w:rPr>
      <w:lang w:eastAsia="en-US"/>
    </w:rPr>
  </w:style>
  <w:style w:type="paragraph" w:styleId="CommentSubject">
    <w:name w:val="annotation subject"/>
    <w:basedOn w:val="CommentText"/>
    <w:next w:val="CommentText"/>
    <w:link w:val="CommentSubjectChar"/>
    <w:uiPriority w:val="99"/>
    <w:semiHidden/>
    <w:unhideWhenUsed/>
    <w:rsid w:val="006271C2"/>
    <w:rPr>
      <w:b/>
      <w:bCs/>
    </w:rPr>
  </w:style>
  <w:style w:type="character" w:customStyle="1" w:styleId="CommentSubjectChar">
    <w:name w:val="Comment Subject Char"/>
    <w:link w:val="CommentSubject"/>
    <w:uiPriority w:val="99"/>
    <w:semiHidden/>
    <w:rsid w:val="006271C2"/>
    <w:rPr>
      <w:b/>
      <w:bCs/>
      <w:lang w:eastAsia="en-US"/>
    </w:rPr>
  </w:style>
  <w:style w:type="character" w:customStyle="1" w:styleId="Heading1Char">
    <w:name w:val="Heading 1 Char"/>
    <w:link w:val="Heading1"/>
    <w:uiPriority w:val="9"/>
    <w:rsid w:val="00801551"/>
    <w:rPr>
      <w:rFonts w:ascii="Cambria" w:eastAsia="Times New Roman" w:hAnsi="Cambria" w:cs="Times New Roman"/>
      <w:b/>
      <w:bCs/>
      <w:kern w:val="32"/>
      <w:sz w:val="32"/>
      <w:szCs w:val="32"/>
      <w:lang w:eastAsia="en-US"/>
    </w:rPr>
  </w:style>
  <w:style w:type="table" w:styleId="TableGrid">
    <w:name w:val="Table Grid"/>
    <w:basedOn w:val="TableNormal"/>
    <w:uiPriority w:val="59"/>
    <w:rsid w:val="003A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D82"/>
    <w:rPr>
      <w:sz w:val="22"/>
      <w:szCs w:val="22"/>
      <w:lang w:eastAsia="en-US"/>
    </w:rPr>
  </w:style>
  <w:style w:type="paragraph" w:styleId="ListParagraph">
    <w:name w:val="List Paragraph"/>
    <w:basedOn w:val="Normal"/>
    <w:uiPriority w:val="34"/>
    <w:qFormat/>
    <w:rsid w:val="00016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72020">
      <w:bodyDiv w:val="1"/>
      <w:marLeft w:val="0"/>
      <w:marRight w:val="0"/>
      <w:marTop w:val="0"/>
      <w:marBottom w:val="0"/>
      <w:divBdr>
        <w:top w:val="none" w:sz="0" w:space="0" w:color="auto"/>
        <w:left w:val="none" w:sz="0" w:space="0" w:color="auto"/>
        <w:bottom w:val="none" w:sz="0" w:space="0" w:color="auto"/>
        <w:right w:val="none" w:sz="0" w:space="0" w:color="auto"/>
      </w:divBdr>
    </w:div>
    <w:div w:id="12737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17ED-E5CD-488B-AAFE-3965CA34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Anderson;Davidson</dc:creator>
  <cp:lastModifiedBy>DUNBAR Lesley</cp:lastModifiedBy>
  <cp:revision>3</cp:revision>
  <cp:lastPrinted>2012-12-10T10:01:00Z</cp:lastPrinted>
  <dcterms:created xsi:type="dcterms:W3CDTF">2015-05-05T15:02:00Z</dcterms:created>
  <dcterms:modified xsi:type="dcterms:W3CDTF">2015-05-05T15:10:00Z</dcterms:modified>
</cp:coreProperties>
</file>